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48F" w:rsidRPr="00CD4811" w:rsidRDefault="00E7715C" w:rsidP="00CD4811">
      <w:pPr>
        <w:rPr>
          <w:rFonts w:ascii="Arial" w:hAnsi="Arial" w:cs="Arial"/>
          <w:b/>
        </w:rPr>
      </w:pPr>
      <w:r w:rsidRPr="00E064BF">
        <w:rPr>
          <w:rFonts w:ascii="Arial" w:hAnsi="Arial" w:cs="Arial"/>
          <w:b/>
          <w:sz w:val="28"/>
          <w:szCs w:val="28"/>
        </w:rPr>
        <w:t>Case study 4</w:t>
      </w:r>
      <w:r w:rsidRPr="00780AE4">
        <w:rPr>
          <w:rFonts w:ascii="Arial" w:hAnsi="Arial" w:cs="Arial"/>
          <w:b/>
        </w:rPr>
        <w:t>:</w:t>
      </w:r>
      <w:r w:rsidR="00E064BF" w:rsidRPr="00E064BF">
        <w:rPr>
          <w:rFonts w:ascii="Arial" w:hAnsi="Arial" w:cs="Arial"/>
          <w:color w:val="000000" w:themeColor="text1"/>
        </w:rPr>
        <w:t xml:space="preserve"> The link between </w:t>
      </w:r>
      <w:r w:rsidR="00340794" w:rsidRPr="00E064BF">
        <w:rPr>
          <w:rFonts w:ascii="Arial" w:hAnsi="Arial" w:cs="Arial"/>
          <w:color w:val="000000" w:themeColor="text1"/>
        </w:rPr>
        <w:t>CBP and the concept of incl</w:t>
      </w:r>
      <w:r w:rsidR="00E064BF" w:rsidRPr="00E064BF">
        <w:rPr>
          <w:rFonts w:ascii="Arial" w:hAnsi="Arial" w:cs="Arial"/>
          <w:color w:val="000000" w:themeColor="text1"/>
        </w:rPr>
        <w:t>usion and social accountability</w:t>
      </w:r>
    </w:p>
    <w:p w:rsidR="003A4B3D" w:rsidRDefault="002C36BB" w:rsidP="007C1ED7">
      <w:pPr>
        <w:spacing w:after="0" w:line="240" w:lineRule="auto"/>
        <w:jc w:val="both"/>
        <w:rPr>
          <w:rFonts w:ascii="Arial" w:hAnsi="Arial" w:cs="Arial"/>
        </w:rPr>
      </w:pPr>
      <w:r w:rsidRPr="003A4B3D">
        <w:rPr>
          <w:rFonts w:ascii="Arial" w:hAnsi="Arial" w:cs="Arial"/>
        </w:rPr>
        <w:t>Local communities have often been frustrated in</w:t>
      </w:r>
      <w:r w:rsidRPr="003A4B3D">
        <w:rPr>
          <w:rFonts w:ascii="Arial" w:hAnsi="Arial" w:cs="Arial"/>
        </w:rPr>
        <w:t xml:space="preserve"> their planning because they have</w:t>
      </w:r>
      <w:r w:rsidRPr="003A4B3D">
        <w:rPr>
          <w:rFonts w:ascii="Arial" w:hAnsi="Arial" w:cs="Arial"/>
        </w:rPr>
        <w:t xml:space="preserve"> no power and resources to act out their plans. The empowerment of people out of their own resources constitutes the fundamental value of community-based planning</w:t>
      </w:r>
      <w:r w:rsidR="003A4B3D" w:rsidRPr="003A4B3D">
        <w:rPr>
          <w:rFonts w:ascii="Arial" w:hAnsi="Arial" w:cs="Arial"/>
        </w:rPr>
        <w:t xml:space="preserve"> (CBP)</w:t>
      </w:r>
      <w:r w:rsidRPr="003A4B3D">
        <w:rPr>
          <w:rFonts w:ascii="Arial" w:hAnsi="Arial" w:cs="Arial"/>
        </w:rPr>
        <w:t>.</w:t>
      </w:r>
      <w:r w:rsidRPr="003A4B3D">
        <w:rPr>
          <w:rFonts w:ascii="Arial" w:hAnsi="Arial" w:cs="Arial"/>
        </w:rPr>
        <w:t xml:space="preserve"> Civil society organisations (CSOs) promoting CBP</w:t>
      </w:r>
      <w:r w:rsidR="00797C5A">
        <w:rPr>
          <w:rFonts w:ascii="Arial" w:hAnsi="Arial" w:cs="Arial"/>
        </w:rPr>
        <w:t xml:space="preserve"> and citizen engagement</w:t>
      </w:r>
      <w:r w:rsidRPr="003A4B3D">
        <w:rPr>
          <w:rFonts w:ascii="Arial" w:hAnsi="Arial" w:cs="Arial"/>
        </w:rPr>
        <w:t xml:space="preserve"> have </w:t>
      </w:r>
      <w:r w:rsidRPr="003A4B3D">
        <w:rPr>
          <w:rFonts w:ascii="Arial" w:hAnsi="Arial" w:cs="Arial"/>
        </w:rPr>
        <w:t xml:space="preserve">observed that </w:t>
      </w:r>
      <w:r w:rsidRPr="003A4B3D">
        <w:rPr>
          <w:rFonts w:ascii="Arial" w:hAnsi="Arial" w:cs="Arial"/>
          <w:lang w:val="en-US"/>
        </w:rPr>
        <w:t>the process</w:t>
      </w:r>
      <w:r w:rsidRPr="003A4B3D">
        <w:rPr>
          <w:rFonts w:ascii="Arial" w:hAnsi="Arial" w:cs="Arial"/>
          <w:lang w:val="en-US"/>
        </w:rPr>
        <w:t xml:space="preserve"> can strengthen community ability to gang up, link, network and form strong movements</w:t>
      </w:r>
      <w:r w:rsidRPr="003A4B3D">
        <w:rPr>
          <w:rFonts w:ascii="Arial" w:hAnsi="Arial" w:cs="Arial"/>
          <w:lang w:val="en-US"/>
        </w:rPr>
        <w:t xml:space="preserve"> that can make </w:t>
      </w:r>
      <w:r w:rsidRPr="003A4B3D">
        <w:rPr>
          <w:rFonts w:ascii="Arial" w:hAnsi="Arial" w:cs="Arial"/>
        </w:rPr>
        <w:t>local authorities to be more accountable and responsive to the needs of their constituents</w:t>
      </w:r>
      <w:r w:rsidRPr="003A4B3D">
        <w:rPr>
          <w:rFonts w:ascii="Arial" w:hAnsi="Arial" w:cs="Arial"/>
        </w:rPr>
        <w:t>.</w:t>
      </w:r>
      <w:r w:rsidRPr="003A4B3D">
        <w:rPr>
          <w:rFonts w:ascii="Arial" w:hAnsi="Arial" w:cs="Arial"/>
        </w:rPr>
        <w:t xml:space="preserve"> </w:t>
      </w:r>
      <w:r w:rsidRPr="003A4B3D">
        <w:rPr>
          <w:rFonts w:ascii="Arial" w:hAnsi="Arial" w:cs="Arial"/>
        </w:rPr>
        <w:t>The process</w:t>
      </w:r>
      <w:r w:rsidRPr="003A4B3D">
        <w:rPr>
          <w:rFonts w:ascii="Arial" w:hAnsi="Arial" w:cs="Arial"/>
        </w:rPr>
        <w:t xml:space="preserve"> empower</w:t>
      </w:r>
      <w:r w:rsidRPr="003A4B3D">
        <w:rPr>
          <w:rFonts w:ascii="Arial" w:hAnsi="Arial" w:cs="Arial"/>
        </w:rPr>
        <w:t>s</w:t>
      </w:r>
      <w:r w:rsidRPr="003A4B3D">
        <w:rPr>
          <w:rFonts w:ascii="Arial" w:hAnsi="Arial" w:cs="Arial"/>
        </w:rPr>
        <w:t xml:space="preserve"> communities</w:t>
      </w:r>
      <w:r w:rsidRPr="003A4B3D">
        <w:rPr>
          <w:rFonts w:ascii="Arial" w:hAnsi="Arial" w:cs="Arial"/>
        </w:rPr>
        <w:t xml:space="preserve"> to</w:t>
      </w:r>
      <w:r w:rsidRPr="003A4B3D">
        <w:rPr>
          <w:rFonts w:ascii="Arial" w:hAnsi="Arial" w:cs="Arial"/>
        </w:rPr>
        <w:t xml:space="preserve"> generate the demand for, and benefit from improved local governance</w:t>
      </w:r>
      <w:r w:rsidRPr="003A4B3D">
        <w:rPr>
          <w:rFonts w:ascii="Arial" w:hAnsi="Arial" w:cs="Arial"/>
        </w:rPr>
        <w:t xml:space="preserve">. </w:t>
      </w:r>
    </w:p>
    <w:p w:rsidR="00CD4811" w:rsidRPr="003A4B3D" w:rsidRDefault="00CD4811" w:rsidP="00CD4811">
      <w:pPr>
        <w:spacing w:after="0" w:line="240" w:lineRule="auto"/>
        <w:ind w:left="567"/>
        <w:jc w:val="both"/>
        <w:rPr>
          <w:rFonts w:ascii="Arial" w:hAnsi="Arial" w:cs="Arial"/>
        </w:rPr>
      </w:pPr>
    </w:p>
    <w:p w:rsidR="003A4B3D" w:rsidRDefault="002C36BB" w:rsidP="007C1ED7">
      <w:pPr>
        <w:spacing w:after="0" w:line="240" w:lineRule="auto"/>
        <w:jc w:val="both"/>
        <w:rPr>
          <w:rFonts w:ascii="Arial" w:hAnsi="Arial" w:cs="Arial"/>
          <w:color w:val="000000" w:themeColor="text1"/>
        </w:rPr>
      </w:pPr>
      <w:r w:rsidRPr="003A4B3D">
        <w:rPr>
          <w:rFonts w:ascii="Arial" w:hAnsi="Arial" w:cs="Arial"/>
        </w:rPr>
        <w:t>Social accountability comprises the range of mechanisms that informed citizens (and their organisations) use to engage in a constructive process of holding a government to account for its actions and helping it become more effective.</w:t>
      </w:r>
      <w:r w:rsidRPr="003A4B3D">
        <w:rPr>
          <w:rStyle w:val="FootnoteReference"/>
          <w:rFonts w:ascii="Arial" w:hAnsi="Arial" w:cs="Arial"/>
        </w:rPr>
        <w:footnoteReference w:id="1"/>
      </w:r>
      <w:r w:rsidRPr="003A4B3D">
        <w:rPr>
          <w:rFonts w:ascii="Arial" w:hAnsi="Arial" w:cs="Arial"/>
        </w:rPr>
        <w:t xml:space="preserve">  The World Bank suggests that service delivery can be improved “by putting poor people at the centre of service provision: by enabling them to monitor and discipline service providers, by amplifying their voice in policymaking, and by strengthening the incentives for providers to serve the poor.”</w:t>
      </w:r>
      <w:r w:rsidRPr="003A4B3D">
        <w:rPr>
          <w:rStyle w:val="FootnoteReference"/>
          <w:rFonts w:ascii="Arial" w:hAnsi="Arial" w:cs="Arial"/>
        </w:rPr>
        <w:footnoteReference w:id="2"/>
      </w:r>
      <w:r w:rsidRPr="003A4B3D">
        <w:rPr>
          <w:rFonts w:ascii="Arial" w:hAnsi="Arial" w:cs="Arial"/>
        </w:rPr>
        <w:t xml:space="preserve">  </w:t>
      </w:r>
      <w:r w:rsidRPr="003A4B3D">
        <w:rPr>
          <w:rFonts w:ascii="Arial" w:eastAsia="Times New Roman" w:hAnsi="Arial" w:cs="Arial"/>
        </w:rPr>
        <w:t>Effective community engagement through CBP</w:t>
      </w:r>
      <w:r w:rsidRPr="003A4B3D">
        <w:rPr>
          <w:rFonts w:ascii="Arial" w:hAnsi="Arial" w:cs="Arial"/>
        </w:rPr>
        <w:t xml:space="preserve"> amplifies the concept of </w:t>
      </w:r>
      <w:r w:rsidRPr="003A4B3D">
        <w:rPr>
          <w:rFonts w:ascii="Arial" w:hAnsi="Arial" w:cs="Arial"/>
        </w:rPr>
        <w:t xml:space="preserve">social accountability </w:t>
      </w:r>
      <w:r w:rsidR="00E45C82" w:rsidRPr="003A4B3D">
        <w:rPr>
          <w:rFonts w:ascii="Arial" w:hAnsi="Arial" w:cs="Arial"/>
        </w:rPr>
        <w:t>in that it</w:t>
      </w:r>
      <w:r w:rsidRPr="003A4B3D">
        <w:rPr>
          <w:rFonts w:ascii="Arial" w:hAnsi="Arial" w:cs="Arial"/>
        </w:rPr>
        <w:t xml:space="preserve"> contribute</w:t>
      </w:r>
      <w:r w:rsidR="00E45C82" w:rsidRPr="003A4B3D">
        <w:rPr>
          <w:rFonts w:ascii="Arial" w:hAnsi="Arial" w:cs="Arial"/>
        </w:rPr>
        <w:t>s</w:t>
      </w:r>
      <w:r w:rsidRPr="003A4B3D">
        <w:rPr>
          <w:rFonts w:ascii="Arial" w:hAnsi="Arial" w:cs="Arial"/>
        </w:rPr>
        <w:t xml:space="preserve"> to </w:t>
      </w:r>
      <w:r w:rsidR="00E45C82" w:rsidRPr="003A4B3D">
        <w:rPr>
          <w:rFonts w:ascii="Arial" w:eastAsia="Times New Roman" w:hAnsi="Arial" w:cs="Arial"/>
        </w:rPr>
        <w:t>strengthened communities and cohesion</w:t>
      </w:r>
      <w:r w:rsidR="00E45C82" w:rsidRPr="003A4B3D">
        <w:rPr>
          <w:rFonts w:ascii="Arial" w:eastAsia="Times New Roman" w:hAnsi="Arial" w:cs="Arial"/>
        </w:rPr>
        <w:t xml:space="preserve">, </w:t>
      </w:r>
      <w:r w:rsidR="00E45C82" w:rsidRPr="003A4B3D">
        <w:rPr>
          <w:rFonts w:ascii="Arial" w:eastAsia="Times New Roman" w:hAnsi="Arial" w:cs="Arial"/>
        </w:rPr>
        <w:t>stronger links between communities and decision makers</w:t>
      </w:r>
      <w:r w:rsidR="00E45C82" w:rsidRPr="003A4B3D">
        <w:rPr>
          <w:rFonts w:ascii="Arial" w:eastAsia="Times New Roman" w:hAnsi="Arial" w:cs="Arial"/>
        </w:rPr>
        <w:t xml:space="preserve">, </w:t>
      </w:r>
      <w:r w:rsidRPr="003A4B3D">
        <w:rPr>
          <w:rFonts w:ascii="Arial" w:hAnsi="Arial" w:cs="Arial"/>
        </w:rPr>
        <w:t>improved governance, increased development effectiveness through better service delivery</w:t>
      </w:r>
      <w:r w:rsidR="005C7114" w:rsidRPr="003A4B3D">
        <w:rPr>
          <w:rStyle w:val="EndnoteReference"/>
          <w:rFonts w:ascii="Arial" w:hAnsi="Arial" w:cs="Arial"/>
        </w:rPr>
        <w:endnoteReference w:id="1"/>
      </w:r>
      <w:r w:rsidRPr="003A4B3D">
        <w:rPr>
          <w:rFonts w:ascii="Arial" w:hAnsi="Arial" w:cs="Arial"/>
        </w:rPr>
        <w:t xml:space="preserve">, and </w:t>
      </w:r>
      <w:r w:rsidR="00E45C82" w:rsidRPr="003A4B3D">
        <w:rPr>
          <w:rFonts w:ascii="Arial" w:eastAsia="Times New Roman" w:hAnsi="Arial" w:cs="Arial"/>
        </w:rPr>
        <w:t xml:space="preserve">increased </w:t>
      </w:r>
      <w:r w:rsidR="00E45C82" w:rsidRPr="00326F9E">
        <w:rPr>
          <w:rFonts w:ascii="Arial" w:eastAsia="Times New Roman" w:hAnsi="Arial" w:cs="Arial"/>
          <w:color w:val="000000" w:themeColor="text1"/>
        </w:rPr>
        <w:t>citizen satisfaction and improved outcomes for local people</w:t>
      </w:r>
      <w:r w:rsidRPr="00326F9E">
        <w:rPr>
          <w:rFonts w:ascii="Arial" w:hAnsi="Arial" w:cs="Arial"/>
          <w:color w:val="000000" w:themeColor="text1"/>
        </w:rPr>
        <w:t xml:space="preserve">. </w:t>
      </w:r>
    </w:p>
    <w:p w:rsidR="00CD4811" w:rsidRPr="00326F9E" w:rsidRDefault="00CD4811" w:rsidP="00CD4811">
      <w:pPr>
        <w:spacing w:after="0" w:line="240" w:lineRule="auto"/>
        <w:ind w:left="567"/>
        <w:jc w:val="both"/>
        <w:rPr>
          <w:rFonts w:ascii="Arial" w:hAnsi="Arial" w:cs="Arial"/>
          <w:color w:val="000000" w:themeColor="text1"/>
        </w:rPr>
      </w:pPr>
    </w:p>
    <w:p w:rsidR="00CD4811" w:rsidRDefault="002C36BB" w:rsidP="007C1ED7">
      <w:pPr>
        <w:spacing w:after="0" w:line="240" w:lineRule="auto"/>
        <w:jc w:val="both"/>
        <w:rPr>
          <w:rFonts w:ascii="Arial" w:hAnsi="Arial" w:cs="Arial"/>
        </w:rPr>
      </w:pPr>
      <w:r w:rsidRPr="00326F9E">
        <w:rPr>
          <w:rFonts w:ascii="Arial" w:hAnsi="Arial" w:cs="Arial"/>
          <w:color w:val="000000" w:themeColor="text1"/>
        </w:rPr>
        <w:t>DFID found that supporting socially inclusive platforms</w:t>
      </w:r>
      <w:r w:rsidR="00E45C82" w:rsidRPr="00326F9E">
        <w:rPr>
          <w:rFonts w:ascii="Arial" w:hAnsi="Arial" w:cs="Arial"/>
          <w:color w:val="000000" w:themeColor="text1"/>
        </w:rPr>
        <w:t xml:space="preserve"> and involvement </w:t>
      </w:r>
      <w:r w:rsidR="00E45C82" w:rsidRPr="00326F9E">
        <w:rPr>
          <w:rFonts w:ascii="Arial" w:hAnsi="Arial" w:cs="Arial"/>
          <w:color w:val="000000" w:themeColor="text1"/>
        </w:rPr>
        <w:t xml:space="preserve">citizens at local level </w:t>
      </w:r>
      <w:r w:rsidR="00E45C82" w:rsidRPr="00326F9E">
        <w:rPr>
          <w:rFonts w:ascii="Arial" w:hAnsi="Arial" w:cs="Arial"/>
          <w:color w:val="000000" w:themeColor="text1"/>
        </w:rPr>
        <w:t>often</w:t>
      </w:r>
      <w:r w:rsidRPr="00326F9E">
        <w:rPr>
          <w:rFonts w:ascii="Arial" w:hAnsi="Arial" w:cs="Arial"/>
          <w:color w:val="000000" w:themeColor="text1"/>
        </w:rPr>
        <w:t xml:space="preserve"> resulted in improved services for marginalised groups, with awareness ra</w:t>
      </w:r>
      <w:r w:rsidR="00934B6A">
        <w:rPr>
          <w:rFonts w:ascii="Arial" w:hAnsi="Arial" w:cs="Arial"/>
          <w:color w:val="000000" w:themeColor="text1"/>
        </w:rPr>
        <w:t>ising playing a supporting role</w:t>
      </w:r>
      <w:r w:rsidRPr="00326F9E">
        <w:rPr>
          <w:rFonts w:ascii="Arial" w:hAnsi="Arial" w:cs="Arial"/>
          <w:color w:val="000000" w:themeColor="text1"/>
          <w:vertAlign w:val="superscript"/>
        </w:rPr>
        <w:footnoteReference w:id="3"/>
      </w:r>
      <w:r w:rsidR="00934B6A">
        <w:rPr>
          <w:rFonts w:ascii="Arial" w:hAnsi="Arial" w:cs="Arial"/>
          <w:color w:val="000000" w:themeColor="text1"/>
        </w:rPr>
        <w:t xml:space="preserve">. </w:t>
      </w:r>
      <w:r w:rsidR="00E45C82" w:rsidRPr="00326F9E">
        <w:rPr>
          <w:rFonts w:ascii="Arial" w:eastAsia="Times New Roman" w:hAnsi="Arial" w:cs="Arial"/>
          <w:color w:val="000000" w:themeColor="text1"/>
        </w:rPr>
        <w:t xml:space="preserve">Pact </w:t>
      </w:r>
      <w:r w:rsidR="00E45C82" w:rsidRPr="00326F9E">
        <w:rPr>
          <w:rFonts w:ascii="Arial" w:eastAsia="Times New Roman" w:hAnsi="Arial" w:cs="Arial"/>
          <w:color w:val="000000" w:themeColor="text1"/>
        </w:rPr>
        <w:t>Zimbabwe which brought</w:t>
      </w:r>
      <w:r w:rsidR="00E45C82" w:rsidRPr="00326F9E">
        <w:rPr>
          <w:rFonts w:ascii="Arial" w:eastAsia="Times New Roman" w:hAnsi="Arial" w:cs="Arial"/>
          <w:color w:val="000000" w:themeColor="text1"/>
        </w:rPr>
        <w:t xml:space="preserve"> together </w:t>
      </w:r>
      <w:r w:rsidR="00E45C82" w:rsidRPr="00326F9E">
        <w:rPr>
          <w:rFonts w:ascii="Arial" w:eastAsia="Times New Roman" w:hAnsi="Arial" w:cs="Arial"/>
          <w:color w:val="000000" w:themeColor="text1"/>
        </w:rPr>
        <w:t xml:space="preserve">and trained </w:t>
      </w:r>
      <w:r w:rsidR="00E45C82" w:rsidRPr="00326F9E">
        <w:rPr>
          <w:rFonts w:ascii="Arial" w:eastAsia="Times New Roman" w:hAnsi="Arial" w:cs="Arial"/>
          <w:color w:val="000000" w:themeColor="text1"/>
        </w:rPr>
        <w:t>11 CSO organizations on community engagement app</w:t>
      </w:r>
      <w:r w:rsidR="00E45C82" w:rsidRPr="00326F9E">
        <w:rPr>
          <w:rFonts w:ascii="Arial" w:eastAsia="Times New Roman" w:hAnsi="Arial" w:cs="Arial"/>
          <w:color w:val="000000" w:themeColor="text1"/>
        </w:rPr>
        <w:t>roaches and experiences by the World Bank in developing countries observed that</w:t>
      </w:r>
      <w:r w:rsidR="0066397E" w:rsidRPr="00326F9E">
        <w:rPr>
          <w:rFonts w:ascii="Arial" w:hAnsi="Arial" w:cs="Arial"/>
          <w:color w:val="000000" w:themeColor="text1"/>
        </w:rPr>
        <w:t xml:space="preserve"> when citizens participate in </w:t>
      </w:r>
      <w:r w:rsidR="00E45C82" w:rsidRPr="00326F9E">
        <w:rPr>
          <w:rFonts w:ascii="Arial" w:hAnsi="Arial" w:cs="Arial"/>
          <w:color w:val="000000" w:themeColor="text1"/>
        </w:rPr>
        <w:t xml:space="preserve">social accountability </w:t>
      </w:r>
      <w:r w:rsidR="0066397E" w:rsidRPr="00326F9E">
        <w:rPr>
          <w:rFonts w:ascii="Arial" w:hAnsi="Arial" w:cs="Arial"/>
          <w:color w:val="000000" w:themeColor="text1"/>
        </w:rPr>
        <w:t>processes – whether through participatory planning or through oversight and advocacy – their views and perspectives are more likely to be heard and to influence government policies and service delivery</w:t>
      </w:r>
      <w:r w:rsidR="003A4B3D" w:rsidRPr="00326F9E">
        <w:rPr>
          <w:rStyle w:val="FootnoteReference"/>
          <w:rFonts w:ascii="Arial" w:hAnsi="Arial" w:cs="Arial"/>
          <w:color w:val="000000" w:themeColor="text1"/>
        </w:rPr>
        <w:footnoteReference w:id="4"/>
      </w:r>
      <w:r w:rsidR="0066397E" w:rsidRPr="00326F9E">
        <w:rPr>
          <w:rFonts w:ascii="Arial" w:hAnsi="Arial" w:cs="Arial"/>
          <w:color w:val="000000" w:themeColor="text1"/>
        </w:rPr>
        <w:t>, leading to better quality services</w:t>
      </w:r>
      <w:r w:rsidR="0066397E" w:rsidRPr="00326F9E">
        <w:rPr>
          <w:rStyle w:val="FootnoteReference"/>
          <w:rFonts w:ascii="Arial" w:hAnsi="Arial" w:cs="Arial"/>
          <w:color w:val="000000" w:themeColor="text1"/>
        </w:rPr>
        <w:footnoteReference w:id="5"/>
      </w:r>
      <w:r w:rsidR="0066397E" w:rsidRPr="00326F9E">
        <w:rPr>
          <w:rFonts w:ascii="Arial" w:hAnsi="Arial" w:cs="Arial"/>
          <w:color w:val="000000" w:themeColor="text1"/>
        </w:rPr>
        <w:t xml:space="preserve">. </w:t>
      </w:r>
      <w:r w:rsidR="00326F9E" w:rsidRPr="00326F9E">
        <w:rPr>
          <w:rFonts w:ascii="Arial" w:hAnsi="Arial" w:cs="Arial"/>
        </w:rPr>
        <w:t xml:space="preserve">The main concepts and principles covered by social accountability therefore converge with the </w:t>
      </w:r>
      <w:r w:rsidR="00CD4811" w:rsidRPr="00326F9E">
        <w:rPr>
          <w:rFonts w:ascii="Arial" w:hAnsi="Arial" w:cs="Arial"/>
        </w:rPr>
        <w:t xml:space="preserve">CBP concepts </w:t>
      </w:r>
      <w:r w:rsidR="00CD4811" w:rsidRPr="00326F9E">
        <w:rPr>
          <w:rFonts w:ascii="Arial" w:hAnsi="Arial" w:cs="Arial"/>
          <w:color w:val="000000" w:themeColor="text1"/>
        </w:rPr>
        <w:t xml:space="preserve">in making people gain </w:t>
      </w:r>
      <w:r w:rsidR="00CD4811" w:rsidRPr="00326F9E">
        <w:rPr>
          <w:rFonts w:ascii="Arial" w:hAnsi="Arial" w:cs="Arial"/>
        </w:rPr>
        <w:t>increasing power to define, to analyze, and to solve one's own problem.</w:t>
      </w:r>
      <w:r w:rsidR="00CD4811" w:rsidRPr="00CD4811">
        <w:rPr>
          <w:rFonts w:ascii="Arial" w:hAnsi="Arial" w:cs="Arial"/>
        </w:rPr>
        <w:t xml:space="preserve"> </w:t>
      </w:r>
    </w:p>
    <w:p w:rsidR="00CD4811" w:rsidRDefault="00CD4811" w:rsidP="00CD4811">
      <w:pPr>
        <w:spacing w:after="0" w:line="240" w:lineRule="auto"/>
        <w:ind w:left="567"/>
        <w:jc w:val="both"/>
        <w:rPr>
          <w:rFonts w:ascii="Arial" w:hAnsi="Arial" w:cs="Arial"/>
        </w:rPr>
      </w:pPr>
    </w:p>
    <w:p w:rsidR="00326F9E" w:rsidRDefault="00CD4811" w:rsidP="007C1ED7">
      <w:pPr>
        <w:spacing w:after="0" w:line="240" w:lineRule="auto"/>
        <w:jc w:val="both"/>
        <w:rPr>
          <w:rFonts w:ascii="Arial" w:hAnsi="Arial" w:cs="Arial"/>
        </w:rPr>
      </w:pPr>
      <w:r w:rsidRPr="00B366E6">
        <w:rPr>
          <w:rFonts w:ascii="Arial" w:hAnsi="Arial" w:cs="Arial"/>
        </w:rPr>
        <w:t xml:space="preserve">As shown in Figure 1 </w:t>
      </w:r>
      <w:r>
        <w:rPr>
          <w:rFonts w:ascii="Arial" w:hAnsi="Arial" w:cs="Arial"/>
        </w:rPr>
        <w:t>below</w:t>
      </w:r>
      <w:r w:rsidRPr="00B366E6">
        <w:rPr>
          <w:rFonts w:ascii="Arial" w:hAnsi="Arial" w:cs="Arial"/>
        </w:rPr>
        <w:t>, the success of social accountability mechanisms in ensuring downward accountability should be designed in ways that develop synergies between civil society and the state. The main risks for both social accountability and CBP is the ‘accountability trap’ described by Fox (2014) in which social accountability contribution to improved services remains localised and short-lived in the absence of strategic intervention</w:t>
      </w:r>
      <w:r w:rsidRPr="00B366E6">
        <w:rPr>
          <w:rFonts w:ascii="Arial" w:hAnsi="Arial" w:cs="Arial"/>
          <w:vertAlign w:val="superscript"/>
        </w:rPr>
        <w:footnoteReference w:id="6"/>
      </w:r>
      <w:r w:rsidRPr="00B366E6">
        <w:rPr>
          <w:rFonts w:ascii="Arial" w:hAnsi="Arial" w:cs="Arial"/>
        </w:rPr>
        <w:t xml:space="preserve">.  This requires </w:t>
      </w:r>
      <w:r w:rsidRPr="00B366E6">
        <w:rPr>
          <w:rFonts w:ascii="Arial" w:eastAsia="Times New Roman" w:hAnsi="Arial" w:cs="Arial"/>
        </w:rPr>
        <w:t>citizens and citizen groups’ capacity to coalesce and articulate their interests in a non-partisan manner.</w:t>
      </w:r>
    </w:p>
    <w:p w:rsidR="00CD4811" w:rsidRDefault="00CD4811" w:rsidP="00CD4811">
      <w:pPr>
        <w:spacing w:after="0" w:line="240" w:lineRule="auto"/>
        <w:ind w:left="567"/>
        <w:jc w:val="both"/>
        <w:rPr>
          <w:rFonts w:ascii="Arial" w:hAnsi="Arial" w:cs="Arial"/>
        </w:rPr>
      </w:pPr>
      <w:r w:rsidRPr="00537696">
        <w:rPr>
          <w:rFonts w:ascii="Arial" w:hAnsi="Arial" w:cs="Arial"/>
        </w:rPr>
        <w:lastRenderedPageBreak/>
        <w:drawing>
          <wp:anchor distT="0" distB="0" distL="114300" distR="114300" simplePos="0" relativeHeight="251659264" behindDoc="1" locked="0" layoutInCell="1" allowOverlap="1" wp14:anchorId="4324A61D" wp14:editId="7005889D">
            <wp:simplePos x="0" y="0"/>
            <wp:positionH relativeFrom="column">
              <wp:posOffset>336550</wp:posOffset>
            </wp:positionH>
            <wp:positionV relativeFrom="paragraph">
              <wp:posOffset>134620</wp:posOffset>
            </wp:positionV>
            <wp:extent cx="4819650" cy="2910840"/>
            <wp:effectExtent l="0" t="0" r="0" b="3810"/>
            <wp:wrapTight wrapText="bothSides">
              <wp:wrapPolygon edited="0">
                <wp:start x="0" y="0"/>
                <wp:lineTo x="0" y="21487"/>
                <wp:lineTo x="21515" y="21487"/>
                <wp:lineTo x="21515" y="0"/>
                <wp:lineTo x="0" y="0"/>
              </wp:wrapPolygon>
            </wp:wrapTight>
            <wp:docPr id="2053" name="Picture 5">
              <a:extLst xmlns:a="http://schemas.openxmlformats.org/drawingml/2006/main">
                <a:ext uri="{FF2B5EF4-FFF2-40B4-BE49-F238E27FC236}">
                  <a16:creationId xmlns:a16="http://schemas.microsoft.com/office/drawing/2014/main" id="{A2DE3ED1-BFB5-40D7-8BB6-DC8EABD5E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a:extLst>
                        <a:ext uri="{FF2B5EF4-FFF2-40B4-BE49-F238E27FC236}">
                          <a16:creationId xmlns:a16="http://schemas.microsoft.com/office/drawing/2014/main" id="{A2DE3ED1-BFB5-40D7-8BB6-DC8EABD5E94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291084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CD4811" w:rsidRDefault="00CD4811" w:rsidP="00CD4811">
      <w:pPr>
        <w:spacing w:after="0" w:line="240" w:lineRule="auto"/>
        <w:ind w:left="567"/>
        <w:jc w:val="both"/>
        <w:rPr>
          <w:rFonts w:ascii="Arial" w:hAnsi="Arial" w:cs="Arial"/>
        </w:rPr>
      </w:pPr>
    </w:p>
    <w:p w:rsidR="00CD4811" w:rsidRDefault="00CD4811" w:rsidP="00CD4811">
      <w:pPr>
        <w:spacing w:after="0" w:line="240" w:lineRule="auto"/>
        <w:ind w:left="567"/>
        <w:jc w:val="both"/>
        <w:rPr>
          <w:rFonts w:ascii="Arial" w:hAnsi="Arial" w:cs="Arial"/>
        </w:rPr>
      </w:pPr>
    </w:p>
    <w:p w:rsidR="00537696" w:rsidRDefault="00537696" w:rsidP="00326F9E">
      <w:pPr>
        <w:spacing w:line="360" w:lineRule="auto"/>
        <w:ind w:left="567"/>
        <w:jc w:val="both"/>
        <w:rPr>
          <w:rFonts w:ascii="Arial" w:hAnsi="Arial" w:cs="Arial"/>
        </w:rPr>
      </w:pPr>
    </w:p>
    <w:p w:rsidR="00537696" w:rsidRPr="00326F9E" w:rsidRDefault="00537696" w:rsidP="00326F9E">
      <w:pPr>
        <w:spacing w:line="360" w:lineRule="auto"/>
        <w:ind w:left="567"/>
        <w:jc w:val="both"/>
        <w:rPr>
          <w:rFonts w:ascii="Arial" w:hAnsi="Arial" w:cs="Arial"/>
        </w:rPr>
      </w:pPr>
    </w:p>
    <w:p w:rsidR="00326F9E" w:rsidRDefault="00326F9E" w:rsidP="00326F9E">
      <w:pPr>
        <w:spacing w:line="360" w:lineRule="auto"/>
        <w:ind w:left="567"/>
        <w:jc w:val="both"/>
      </w:pPr>
    </w:p>
    <w:p w:rsidR="0066397E" w:rsidRDefault="0066397E" w:rsidP="0066397E">
      <w:pPr>
        <w:rPr>
          <w:sz w:val="14"/>
          <w:szCs w:val="14"/>
        </w:rPr>
      </w:pPr>
    </w:p>
    <w:p w:rsidR="00537696" w:rsidRDefault="00537696" w:rsidP="0066397E">
      <w:pPr>
        <w:rPr>
          <w:sz w:val="14"/>
          <w:szCs w:val="14"/>
        </w:rPr>
      </w:pPr>
    </w:p>
    <w:p w:rsidR="00537696" w:rsidRDefault="00537696" w:rsidP="0066397E">
      <w:pPr>
        <w:rPr>
          <w:sz w:val="14"/>
          <w:szCs w:val="14"/>
        </w:rPr>
      </w:pPr>
    </w:p>
    <w:p w:rsidR="00537696" w:rsidRDefault="00537696" w:rsidP="0066397E">
      <w:pPr>
        <w:rPr>
          <w:sz w:val="14"/>
          <w:szCs w:val="14"/>
        </w:rPr>
      </w:pPr>
    </w:p>
    <w:p w:rsidR="00537696" w:rsidRDefault="00537696" w:rsidP="0066397E">
      <w:pPr>
        <w:rPr>
          <w:sz w:val="14"/>
          <w:szCs w:val="14"/>
        </w:rPr>
      </w:pPr>
    </w:p>
    <w:p w:rsidR="00537696" w:rsidRDefault="00537696" w:rsidP="0066397E">
      <w:pPr>
        <w:rPr>
          <w:sz w:val="14"/>
          <w:szCs w:val="14"/>
        </w:rPr>
      </w:pPr>
    </w:p>
    <w:p w:rsidR="00537696" w:rsidRDefault="00537696" w:rsidP="0066397E">
      <w:pPr>
        <w:rPr>
          <w:sz w:val="14"/>
          <w:szCs w:val="14"/>
        </w:rPr>
      </w:pPr>
    </w:p>
    <w:p w:rsidR="00537696" w:rsidRPr="00537696" w:rsidRDefault="00537696" w:rsidP="0066397E">
      <w:pPr>
        <w:rPr>
          <w:rFonts w:ascii="Arial" w:hAnsi="Arial" w:cs="Arial"/>
        </w:rPr>
      </w:pPr>
      <w:r>
        <w:rPr>
          <w:sz w:val="14"/>
          <w:szCs w:val="14"/>
        </w:rPr>
        <w:tab/>
      </w:r>
      <w:r>
        <w:rPr>
          <w:sz w:val="14"/>
          <w:szCs w:val="14"/>
        </w:rPr>
        <w:tab/>
      </w:r>
      <w:r w:rsidRPr="00537696">
        <w:rPr>
          <w:rFonts w:ascii="Arial" w:hAnsi="Arial" w:cs="Arial"/>
          <w:color w:val="0070C0"/>
        </w:rPr>
        <w:t>Figure 1: Demand led service delivery</w:t>
      </w:r>
    </w:p>
    <w:p w:rsidR="0016471A" w:rsidRDefault="0016471A" w:rsidP="007C1ED7">
      <w:pPr>
        <w:spacing w:after="0" w:line="240" w:lineRule="auto"/>
        <w:jc w:val="both"/>
        <w:rPr>
          <w:rFonts w:ascii="Arial" w:eastAsia="Times New Roman" w:hAnsi="Arial" w:cs="Arial"/>
        </w:rPr>
      </w:pPr>
      <w:r w:rsidRPr="00B366E6">
        <w:rPr>
          <w:rFonts w:ascii="Arial" w:eastAsia="Times New Roman" w:hAnsi="Arial" w:cs="Arial"/>
        </w:rPr>
        <w:t xml:space="preserve">Actions designed to help communities coalesce and take appropriate action and lead social change such as leadership skills, knowledge of rights and responsibilities; local and national government processes and institutions; citizen mobilization and movement building; networking and collaboration; advocacy and negotiation </w:t>
      </w:r>
      <w:r w:rsidR="003521E8" w:rsidRPr="00B366E6">
        <w:rPr>
          <w:rFonts w:ascii="Arial" w:eastAsia="Times New Roman" w:hAnsi="Arial" w:cs="Arial"/>
        </w:rPr>
        <w:t>should be</w:t>
      </w:r>
      <w:r w:rsidRPr="00B366E6">
        <w:rPr>
          <w:rFonts w:ascii="Arial" w:eastAsia="Times New Roman" w:hAnsi="Arial" w:cs="Arial"/>
        </w:rPr>
        <w:t xml:space="preserve"> supported</w:t>
      </w:r>
      <w:r w:rsidR="003521E8" w:rsidRPr="00B366E6">
        <w:rPr>
          <w:rFonts w:ascii="Arial" w:eastAsia="Times New Roman" w:hAnsi="Arial" w:cs="Arial"/>
        </w:rPr>
        <w:t xml:space="preserve"> and be part of the CBP process</w:t>
      </w:r>
      <w:r w:rsidRPr="00B366E6">
        <w:rPr>
          <w:rFonts w:ascii="Arial" w:eastAsia="Times New Roman" w:hAnsi="Arial" w:cs="Arial"/>
        </w:rPr>
        <w:t xml:space="preserve">. Hence, </w:t>
      </w:r>
      <w:r w:rsidR="003521E8" w:rsidRPr="00B366E6">
        <w:rPr>
          <w:rFonts w:ascii="Arial" w:eastAsia="Times New Roman" w:hAnsi="Arial" w:cs="Arial"/>
        </w:rPr>
        <w:t>the demand must be ‘organised’</w:t>
      </w:r>
      <w:r w:rsidRPr="00B366E6">
        <w:rPr>
          <w:rFonts w:ascii="Arial" w:eastAsia="Times New Roman" w:hAnsi="Arial" w:cs="Arial"/>
        </w:rPr>
        <w:t xml:space="preserve"> and </w:t>
      </w:r>
      <w:r w:rsidR="003521E8" w:rsidRPr="00B366E6">
        <w:rPr>
          <w:rFonts w:ascii="Arial" w:eastAsia="Times New Roman" w:hAnsi="Arial" w:cs="Arial"/>
        </w:rPr>
        <w:t>promote stakeholder</w:t>
      </w:r>
      <w:r w:rsidRPr="00B366E6">
        <w:rPr>
          <w:rFonts w:ascii="Arial" w:eastAsia="Times New Roman" w:hAnsi="Arial" w:cs="Arial"/>
        </w:rPr>
        <w:t xml:space="preserve"> </w:t>
      </w:r>
      <w:r w:rsidR="003521E8" w:rsidRPr="00B366E6">
        <w:rPr>
          <w:rFonts w:ascii="Arial" w:eastAsia="Times New Roman" w:hAnsi="Arial" w:cs="Arial"/>
        </w:rPr>
        <w:t>engagement</w:t>
      </w:r>
      <w:r w:rsidRPr="00B366E6">
        <w:rPr>
          <w:rFonts w:ascii="Arial" w:eastAsia="Times New Roman" w:hAnsi="Arial" w:cs="Arial"/>
        </w:rPr>
        <w:t xml:space="preserve"> </w:t>
      </w:r>
      <w:r w:rsidR="003521E8" w:rsidRPr="00B366E6">
        <w:rPr>
          <w:rFonts w:ascii="Arial" w:eastAsia="Times New Roman" w:hAnsi="Arial" w:cs="Arial"/>
        </w:rPr>
        <w:t>to find</w:t>
      </w:r>
      <w:r w:rsidRPr="00B366E6">
        <w:rPr>
          <w:rFonts w:ascii="Arial" w:eastAsia="Times New Roman" w:hAnsi="Arial" w:cs="Arial"/>
        </w:rPr>
        <w:t xml:space="preserve"> sustainable solutions as well as hold leadership to account for their mandates.</w:t>
      </w:r>
    </w:p>
    <w:p w:rsidR="00B366E6" w:rsidRPr="00B366E6" w:rsidRDefault="00B366E6" w:rsidP="00B366E6">
      <w:pPr>
        <w:spacing w:after="0" w:line="240" w:lineRule="auto"/>
        <w:ind w:left="567"/>
        <w:jc w:val="both"/>
        <w:rPr>
          <w:rFonts w:ascii="Arial" w:hAnsi="Arial" w:cs="Arial"/>
        </w:rPr>
      </w:pPr>
    </w:p>
    <w:p w:rsidR="0016471A" w:rsidRDefault="00B366E6" w:rsidP="007C1ED7">
      <w:pPr>
        <w:spacing w:after="0" w:line="240" w:lineRule="auto"/>
        <w:jc w:val="both"/>
        <w:rPr>
          <w:rFonts w:ascii="Arial" w:eastAsia="Times New Roman" w:hAnsi="Arial" w:cs="Arial"/>
        </w:rPr>
      </w:pPr>
      <w:r w:rsidRPr="00B366E6">
        <w:rPr>
          <w:rFonts w:ascii="Arial" w:eastAsia="Times New Roman" w:hAnsi="Arial" w:cs="Arial"/>
        </w:rPr>
        <w:t>During the CBP symposium organised by IOM and WFP in 2015, there was consensus among participants that the CBP process is one of the platforms which can i</w:t>
      </w:r>
      <w:r w:rsidR="0016471A" w:rsidRPr="00B366E6">
        <w:rPr>
          <w:rFonts w:ascii="Arial" w:eastAsia="Times New Roman" w:hAnsi="Arial" w:cs="Arial"/>
        </w:rPr>
        <w:t xml:space="preserve">ncrease citizen dialogue with </w:t>
      </w:r>
      <w:r w:rsidRPr="00B366E6">
        <w:rPr>
          <w:rFonts w:ascii="Arial" w:eastAsia="Times New Roman" w:hAnsi="Arial" w:cs="Arial"/>
        </w:rPr>
        <w:t>service providers and decision makers.</w:t>
      </w:r>
      <w:r w:rsidR="0016471A" w:rsidRPr="00B366E6">
        <w:rPr>
          <w:rFonts w:ascii="Arial" w:eastAsia="Times New Roman" w:hAnsi="Arial" w:cs="Arial"/>
        </w:rPr>
        <w:t xml:space="preserve">  </w:t>
      </w:r>
      <w:r w:rsidRPr="00B366E6">
        <w:rPr>
          <w:rFonts w:ascii="Arial" w:eastAsia="Times New Roman" w:hAnsi="Arial" w:cs="Arial"/>
        </w:rPr>
        <w:t xml:space="preserve">The CBP </w:t>
      </w:r>
      <w:r w:rsidR="0016471A" w:rsidRPr="00B366E6">
        <w:rPr>
          <w:rFonts w:ascii="Arial" w:eastAsia="Times New Roman" w:hAnsi="Arial" w:cs="Arial"/>
        </w:rPr>
        <w:t xml:space="preserve">dialogue platforms among </w:t>
      </w:r>
      <w:r w:rsidRPr="00B366E6">
        <w:rPr>
          <w:rFonts w:ascii="Arial" w:eastAsia="Times New Roman" w:hAnsi="Arial" w:cs="Arial"/>
        </w:rPr>
        <w:t>different socio-economic groups</w:t>
      </w:r>
      <w:r w:rsidR="0016471A" w:rsidRPr="00B366E6">
        <w:rPr>
          <w:rFonts w:ascii="Arial" w:eastAsia="Times New Roman" w:hAnsi="Arial" w:cs="Arial"/>
        </w:rPr>
        <w:t xml:space="preserve"> and between citizens and </w:t>
      </w:r>
      <w:r w:rsidRPr="00B366E6">
        <w:rPr>
          <w:rFonts w:ascii="Arial" w:eastAsia="Times New Roman" w:hAnsi="Arial" w:cs="Arial"/>
        </w:rPr>
        <w:t>decision makers</w:t>
      </w:r>
      <w:r w:rsidR="0016471A" w:rsidRPr="00B366E6">
        <w:rPr>
          <w:rFonts w:ascii="Arial" w:eastAsia="Times New Roman" w:hAnsi="Arial" w:cs="Arial"/>
        </w:rPr>
        <w:t xml:space="preserve"> </w:t>
      </w:r>
      <w:r w:rsidRPr="00B366E6">
        <w:rPr>
          <w:rFonts w:ascii="Arial" w:eastAsia="Times New Roman" w:hAnsi="Arial" w:cs="Arial"/>
        </w:rPr>
        <w:t xml:space="preserve">creates space and </w:t>
      </w:r>
      <w:r w:rsidR="0016471A" w:rsidRPr="00B366E6">
        <w:rPr>
          <w:rFonts w:ascii="Arial" w:eastAsia="Times New Roman" w:hAnsi="Arial" w:cs="Arial"/>
        </w:rPr>
        <w:t>opportunities for citizens (especially</w:t>
      </w:r>
      <w:r w:rsidRPr="00B366E6">
        <w:rPr>
          <w:rFonts w:ascii="Arial" w:eastAsia="Times New Roman" w:hAnsi="Arial" w:cs="Arial"/>
        </w:rPr>
        <w:t xml:space="preserve"> marginalised groups like internally displaced persons,</w:t>
      </w:r>
      <w:r w:rsidR="0016471A" w:rsidRPr="00B366E6">
        <w:rPr>
          <w:rFonts w:ascii="Arial" w:eastAsia="Times New Roman" w:hAnsi="Arial" w:cs="Arial"/>
        </w:rPr>
        <w:t xml:space="preserve"> women and youth) to influence decisions and lead social change within their communities. As a result, communities are engaged in social accountability programs and processes to enhance transparency and improvement in the quality of service delivered by local councils and</w:t>
      </w:r>
      <w:r w:rsidRPr="00B366E6">
        <w:rPr>
          <w:rFonts w:ascii="Arial" w:eastAsia="Times New Roman" w:hAnsi="Arial" w:cs="Arial"/>
        </w:rPr>
        <w:t xml:space="preserve"> service</w:t>
      </w:r>
      <w:r w:rsidR="0016471A" w:rsidRPr="00B366E6">
        <w:rPr>
          <w:rFonts w:ascii="Arial" w:eastAsia="Times New Roman" w:hAnsi="Arial" w:cs="Arial"/>
        </w:rPr>
        <w:t xml:space="preserve"> providers.</w:t>
      </w:r>
    </w:p>
    <w:p w:rsidR="00B366E6" w:rsidRPr="00B366E6" w:rsidRDefault="00B366E6" w:rsidP="00752DD2">
      <w:pPr>
        <w:spacing w:after="0" w:line="240" w:lineRule="auto"/>
        <w:jc w:val="both"/>
        <w:rPr>
          <w:rFonts w:ascii="Arial" w:eastAsia="Times New Roman" w:hAnsi="Arial" w:cs="Arial"/>
        </w:rPr>
      </w:pPr>
      <w:bookmarkStart w:id="0" w:name="_GoBack"/>
      <w:bookmarkEnd w:id="0"/>
    </w:p>
    <w:p w:rsidR="0016471A" w:rsidRPr="00CD4811" w:rsidRDefault="00CD4811" w:rsidP="00797C5A">
      <w:pPr>
        <w:spacing w:after="0" w:line="240" w:lineRule="auto"/>
        <w:jc w:val="both"/>
        <w:rPr>
          <w:rFonts w:ascii="Arial" w:eastAsia="Times New Roman" w:hAnsi="Arial" w:cs="Arial"/>
          <w:bCs/>
        </w:rPr>
      </w:pPr>
      <w:r w:rsidRPr="00CD4811">
        <w:rPr>
          <w:rFonts w:ascii="Arial" w:eastAsia="Times New Roman" w:hAnsi="Arial" w:cs="Arial"/>
          <w:bCs/>
        </w:rPr>
        <w:t>The Community Action plan</w:t>
      </w:r>
      <w:r w:rsidR="00B366E6" w:rsidRPr="00CD4811">
        <w:rPr>
          <w:rFonts w:ascii="Arial" w:eastAsia="Times New Roman" w:hAnsi="Arial" w:cs="Arial"/>
          <w:bCs/>
        </w:rPr>
        <w:t xml:space="preserve"> (</w:t>
      </w:r>
      <w:r w:rsidRPr="00CD4811">
        <w:rPr>
          <w:rFonts w:ascii="Arial" w:eastAsia="Times New Roman" w:hAnsi="Arial" w:cs="Arial"/>
          <w:bCs/>
        </w:rPr>
        <w:t>CAP</w:t>
      </w:r>
      <w:r w:rsidR="00B366E6" w:rsidRPr="00CD4811">
        <w:rPr>
          <w:rFonts w:ascii="Arial" w:eastAsia="Times New Roman" w:hAnsi="Arial" w:cs="Arial"/>
          <w:bCs/>
        </w:rPr>
        <w:t>) is the major product of the CBP process which has become a credible source</w:t>
      </w:r>
      <w:r w:rsidR="0016471A" w:rsidRPr="00CD4811">
        <w:rPr>
          <w:rFonts w:ascii="Arial" w:eastAsia="Times New Roman" w:hAnsi="Arial" w:cs="Arial"/>
          <w:bCs/>
        </w:rPr>
        <w:t xml:space="preserve"> of information by communities</w:t>
      </w:r>
      <w:r w:rsidR="00B366E6" w:rsidRPr="00CD4811">
        <w:rPr>
          <w:rFonts w:ascii="Arial" w:eastAsia="Times New Roman" w:hAnsi="Arial" w:cs="Arial"/>
          <w:bCs/>
        </w:rPr>
        <w:t xml:space="preserve"> and service providers. A</w:t>
      </w:r>
      <w:r w:rsidR="0016471A" w:rsidRPr="00CD4811">
        <w:rPr>
          <w:rFonts w:ascii="Arial" w:eastAsia="Times New Roman" w:hAnsi="Arial" w:cs="Arial"/>
        </w:rPr>
        <w:t xml:space="preserve">ccess to credible, accurate, timely and objective information enables </w:t>
      </w:r>
      <w:r w:rsidRPr="00CD4811">
        <w:rPr>
          <w:rFonts w:ascii="Arial" w:eastAsia="Times New Roman" w:hAnsi="Arial" w:cs="Arial"/>
        </w:rPr>
        <w:t>socio-economic groups</w:t>
      </w:r>
      <w:r w:rsidR="0016471A" w:rsidRPr="00CD4811">
        <w:rPr>
          <w:rFonts w:ascii="Arial" w:eastAsia="Times New Roman" w:hAnsi="Arial" w:cs="Arial"/>
        </w:rPr>
        <w:t xml:space="preserve"> to make informed decisions, participate effectively in governance and lead social change. Giving citizens the space to tell their own stories creates opportunities for them to be agents for change and enhances their ability to hold leaders accountable.  </w:t>
      </w:r>
    </w:p>
    <w:p w:rsidR="00E7715C" w:rsidRPr="00043277" w:rsidRDefault="00E7715C" w:rsidP="00043277">
      <w:pPr>
        <w:ind w:left="1080"/>
        <w:rPr>
          <w:rFonts w:ascii="Arial" w:hAnsi="Arial" w:cs="Arial"/>
          <w:b/>
        </w:rPr>
      </w:pPr>
    </w:p>
    <w:p w:rsidR="00E7715C" w:rsidRPr="00780AE4" w:rsidRDefault="00E7715C" w:rsidP="00C67C67">
      <w:pPr>
        <w:rPr>
          <w:rFonts w:ascii="Arial" w:hAnsi="Arial" w:cs="Arial"/>
          <w:b/>
        </w:rPr>
      </w:pPr>
    </w:p>
    <w:p w:rsidR="00E7715C" w:rsidRPr="00780AE4" w:rsidRDefault="00E7715C" w:rsidP="00C67C67">
      <w:pPr>
        <w:rPr>
          <w:rFonts w:ascii="Arial" w:hAnsi="Arial" w:cs="Arial"/>
          <w:b/>
        </w:rPr>
      </w:pPr>
    </w:p>
    <w:p w:rsidR="00213C10" w:rsidRDefault="00213C10">
      <w:pPr>
        <w:rPr>
          <w:rFonts w:ascii="Arial" w:hAnsi="Arial" w:cs="Arial"/>
          <w:b/>
        </w:rPr>
      </w:pPr>
    </w:p>
    <w:sectPr w:rsidR="00213C10">
      <w:footnotePr>
        <w:numStart w:val="3"/>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BC9" w:rsidRDefault="00E76BC9" w:rsidP="0092376F">
      <w:pPr>
        <w:spacing w:after="0" w:line="240" w:lineRule="auto"/>
      </w:pPr>
      <w:r>
        <w:separator/>
      </w:r>
    </w:p>
  </w:endnote>
  <w:endnote w:type="continuationSeparator" w:id="0">
    <w:p w:rsidR="00E76BC9" w:rsidRDefault="00E76BC9" w:rsidP="0092376F">
      <w:pPr>
        <w:spacing w:after="0" w:line="240" w:lineRule="auto"/>
      </w:pPr>
      <w:r>
        <w:continuationSeparator/>
      </w:r>
    </w:p>
  </w:endnote>
  <w:endnote w:id="1">
    <w:p w:rsidR="005C7114" w:rsidRDefault="005C711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BC9" w:rsidRDefault="00E76BC9" w:rsidP="0092376F">
      <w:pPr>
        <w:spacing w:after="0" w:line="240" w:lineRule="auto"/>
      </w:pPr>
      <w:r>
        <w:separator/>
      </w:r>
    </w:p>
  </w:footnote>
  <w:footnote w:type="continuationSeparator" w:id="0">
    <w:p w:rsidR="00E76BC9" w:rsidRDefault="00E76BC9" w:rsidP="0092376F">
      <w:pPr>
        <w:spacing w:after="0" w:line="240" w:lineRule="auto"/>
      </w:pPr>
      <w:r>
        <w:continuationSeparator/>
      </w:r>
    </w:p>
  </w:footnote>
  <w:footnote w:id="1">
    <w:p w:rsidR="002C36BB" w:rsidRPr="00724B6A" w:rsidRDefault="002C36BB" w:rsidP="002C36BB">
      <w:pPr>
        <w:pStyle w:val="FootnoteText"/>
        <w:rPr>
          <w:sz w:val="16"/>
          <w:szCs w:val="16"/>
        </w:rPr>
      </w:pPr>
      <w:r w:rsidRPr="00724B6A">
        <w:rPr>
          <w:rStyle w:val="FootnoteReference"/>
          <w:sz w:val="16"/>
          <w:szCs w:val="16"/>
        </w:rPr>
        <w:footnoteRef/>
      </w:r>
      <w:r w:rsidRPr="00724B6A">
        <w:rPr>
          <w:sz w:val="16"/>
          <w:szCs w:val="16"/>
        </w:rPr>
        <w:t xml:space="preserve"> Malena, C. et al. (2004), ‘Social accountability: An introduction to the concept and emerging practice’, Social Development Papers No. 76. Washington, DC: World Bank, December.</w:t>
      </w:r>
    </w:p>
  </w:footnote>
  <w:footnote w:id="2">
    <w:p w:rsidR="002C36BB" w:rsidRPr="00724B6A" w:rsidRDefault="002C36BB" w:rsidP="002C36BB">
      <w:pPr>
        <w:pStyle w:val="FootnoteText"/>
        <w:rPr>
          <w:sz w:val="16"/>
          <w:szCs w:val="16"/>
        </w:rPr>
      </w:pPr>
      <w:r w:rsidRPr="00724B6A">
        <w:rPr>
          <w:rStyle w:val="FootnoteReference"/>
          <w:sz w:val="16"/>
          <w:szCs w:val="16"/>
        </w:rPr>
        <w:footnoteRef/>
      </w:r>
      <w:r w:rsidRPr="00724B6A">
        <w:rPr>
          <w:sz w:val="16"/>
          <w:szCs w:val="16"/>
        </w:rPr>
        <w:t xml:space="preserve"> World Bank. (2004) Problems in service delivery: Making Services Work for Poor People, World Bank.</w:t>
      </w:r>
    </w:p>
  </w:footnote>
  <w:footnote w:id="3">
    <w:p w:rsidR="002C36BB" w:rsidRPr="00724B6A" w:rsidRDefault="002C36BB" w:rsidP="002C36BB">
      <w:pPr>
        <w:pStyle w:val="FootnoteText"/>
        <w:rPr>
          <w:sz w:val="16"/>
          <w:szCs w:val="16"/>
        </w:rPr>
      </w:pPr>
      <w:r w:rsidRPr="00724B6A">
        <w:rPr>
          <w:rStyle w:val="FootnoteReference"/>
          <w:sz w:val="16"/>
          <w:szCs w:val="16"/>
        </w:rPr>
        <w:footnoteRef/>
      </w:r>
      <w:r w:rsidRPr="00724B6A">
        <w:rPr>
          <w:sz w:val="16"/>
          <w:szCs w:val="16"/>
        </w:rPr>
        <w:t xml:space="preserve"> Macro Evaluation of DFID’s Policy Frame for Empowerment and Accountability, 2016</w:t>
      </w:r>
    </w:p>
  </w:footnote>
  <w:footnote w:id="4">
    <w:p w:rsidR="003A4B3D" w:rsidRDefault="003A4B3D">
      <w:pPr>
        <w:pStyle w:val="FootnoteText"/>
      </w:pPr>
      <w:r>
        <w:rPr>
          <w:rStyle w:val="FootnoteReference"/>
        </w:rPr>
        <w:footnoteRef/>
      </w:r>
      <w:r>
        <w:t xml:space="preserve"> </w:t>
      </w:r>
      <w:r w:rsidRPr="003A4B3D">
        <w:rPr>
          <w:color w:val="000000" w:themeColor="text1"/>
          <w:sz w:val="16"/>
          <w:szCs w:val="16"/>
        </w:rPr>
        <w:t xml:space="preserve">Save the Children conducted a </w:t>
      </w:r>
      <w:r w:rsidRPr="003A4B3D">
        <w:rPr>
          <w:bCs/>
          <w:color w:val="000000" w:themeColor="text1"/>
          <w:sz w:val="16"/>
          <w:szCs w:val="16"/>
        </w:rPr>
        <w:t xml:space="preserve">social accountability approach of the Project </w:t>
      </w:r>
      <w:r w:rsidRPr="003A4B3D">
        <w:rPr>
          <w:color w:val="000000" w:themeColor="text1"/>
          <w:sz w:val="16"/>
          <w:szCs w:val="16"/>
        </w:rPr>
        <w:t>Strengthening Community Participation in Health</w:t>
      </w:r>
      <w:r w:rsidRPr="003A4B3D">
        <w:rPr>
          <w:bCs/>
          <w:color w:val="000000" w:themeColor="text1"/>
          <w:sz w:val="16"/>
          <w:szCs w:val="16"/>
        </w:rPr>
        <w:t xml:space="preserve"> in 4 Districts ( Mhondoro Ngezi, Makonde, Goromonzi and Makoni) Mashonaland East, Mashonalnd west and Manicaland  Provinces of Zimbabwe.</w:t>
      </w:r>
    </w:p>
  </w:footnote>
  <w:footnote w:id="5">
    <w:p w:rsidR="0066397E" w:rsidRPr="00724B6A" w:rsidRDefault="0066397E" w:rsidP="0066397E">
      <w:pPr>
        <w:pStyle w:val="FootnoteText"/>
        <w:rPr>
          <w:sz w:val="16"/>
          <w:szCs w:val="16"/>
        </w:rPr>
      </w:pPr>
      <w:r w:rsidRPr="00724B6A">
        <w:rPr>
          <w:rStyle w:val="FootnoteReference"/>
          <w:sz w:val="16"/>
          <w:szCs w:val="16"/>
        </w:rPr>
        <w:footnoteRef/>
      </w:r>
      <w:r w:rsidRPr="00724B6A">
        <w:rPr>
          <w:sz w:val="16"/>
          <w:szCs w:val="16"/>
        </w:rPr>
        <w:t xml:space="preserve"> World Bank (2003), World Development Report 2004: Making Services Work for Poor People. Washington, DC: World Bank and Oxford University Press.</w:t>
      </w:r>
    </w:p>
  </w:footnote>
  <w:footnote w:id="6">
    <w:p w:rsidR="00CD4811" w:rsidRPr="007B0F61" w:rsidRDefault="00CD4811" w:rsidP="00CD4811">
      <w:pPr>
        <w:pStyle w:val="FootnoteText"/>
        <w:rPr>
          <w:sz w:val="16"/>
          <w:szCs w:val="16"/>
        </w:rPr>
      </w:pPr>
      <w:r w:rsidRPr="007B0F61">
        <w:rPr>
          <w:rStyle w:val="FootnoteReference"/>
          <w:sz w:val="16"/>
          <w:szCs w:val="16"/>
        </w:rPr>
        <w:footnoteRef/>
      </w:r>
      <w:r w:rsidRPr="007B0F61">
        <w:rPr>
          <w:sz w:val="16"/>
          <w:szCs w:val="16"/>
        </w:rPr>
        <w:t xml:space="preserve"> Fox, J. (2014), ‘Social Accountability: What does the evidence really say?’ GPSA Global Forum PowerPoint Presentation, 14 May. Available at http://issuu.com/thegpsa/docs/social-accountability-04-13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5E6"/>
    <w:multiLevelType w:val="hybridMultilevel"/>
    <w:tmpl w:val="F8DC9C3A"/>
    <w:lvl w:ilvl="0" w:tplc="EF1CA7A4">
      <w:start w:val="1"/>
      <w:numFmt w:val="decimal"/>
      <w:lvlText w:val="%1."/>
      <w:lvlJc w:val="left"/>
      <w:pPr>
        <w:ind w:left="360" w:hanging="360"/>
      </w:pPr>
      <w:rPr>
        <w:rFonts w:hint="default"/>
        <w:b/>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775365F"/>
    <w:multiLevelType w:val="multilevel"/>
    <w:tmpl w:val="16F6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5495"/>
    <w:multiLevelType w:val="hybridMultilevel"/>
    <w:tmpl w:val="D4AA09BE"/>
    <w:lvl w:ilvl="0" w:tplc="5DF6236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A1F17"/>
    <w:multiLevelType w:val="hybridMultilevel"/>
    <w:tmpl w:val="E3222936"/>
    <w:lvl w:ilvl="0" w:tplc="3DF2CC54">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E11061"/>
    <w:multiLevelType w:val="hybridMultilevel"/>
    <w:tmpl w:val="3D4E5220"/>
    <w:lvl w:ilvl="0" w:tplc="141A9A22">
      <w:start w:val="1"/>
      <w:numFmt w:val="bullet"/>
      <w:lvlText w:val=""/>
      <w:lvlJc w:val="left"/>
      <w:pPr>
        <w:tabs>
          <w:tab w:val="num" w:pos="720"/>
        </w:tabs>
        <w:ind w:left="720" w:hanging="360"/>
      </w:pPr>
      <w:rPr>
        <w:rFonts w:ascii="Wingdings" w:hAnsi="Wingdings" w:hint="default"/>
      </w:rPr>
    </w:lvl>
    <w:lvl w:ilvl="1" w:tplc="742E7EE4">
      <w:start w:val="1"/>
      <w:numFmt w:val="bullet"/>
      <w:lvlText w:val=""/>
      <w:lvlJc w:val="left"/>
      <w:pPr>
        <w:tabs>
          <w:tab w:val="num" w:pos="1440"/>
        </w:tabs>
        <w:ind w:left="1440" w:hanging="360"/>
      </w:pPr>
      <w:rPr>
        <w:rFonts w:ascii="Wingdings" w:hAnsi="Wingdings" w:hint="default"/>
      </w:rPr>
    </w:lvl>
    <w:lvl w:ilvl="2" w:tplc="7BCCE79A" w:tentative="1">
      <w:start w:val="1"/>
      <w:numFmt w:val="bullet"/>
      <w:lvlText w:val=""/>
      <w:lvlJc w:val="left"/>
      <w:pPr>
        <w:tabs>
          <w:tab w:val="num" w:pos="2160"/>
        </w:tabs>
        <w:ind w:left="2160" w:hanging="360"/>
      </w:pPr>
      <w:rPr>
        <w:rFonts w:ascii="Wingdings" w:hAnsi="Wingdings" w:hint="default"/>
      </w:rPr>
    </w:lvl>
    <w:lvl w:ilvl="3" w:tplc="893C2CB6" w:tentative="1">
      <w:start w:val="1"/>
      <w:numFmt w:val="bullet"/>
      <w:lvlText w:val=""/>
      <w:lvlJc w:val="left"/>
      <w:pPr>
        <w:tabs>
          <w:tab w:val="num" w:pos="2880"/>
        </w:tabs>
        <w:ind w:left="2880" w:hanging="360"/>
      </w:pPr>
      <w:rPr>
        <w:rFonts w:ascii="Wingdings" w:hAnsi="Wingdings" w:hint="default"/>
      </w:rPr>
    </w:lvl>
    <w:lvl w:ilvl="4" w:tplc="94C25326" w:tentative="1">
      <w:start w:val="1"/>
      <w:numFmt w:val="bullet"/>
      <w:lvlText w:val=""/>
      <w:lvlJc w:val="left"/>
      <w:pPr>
        <w:tabs>
          <w:tab w:val="num" w:pos="3600"/>
        </w:tabs>
        <w:ind w:left="3600" w:hanging="360"/>
      </w:pPr>
      <w:rPr>
        <w:rFonts w:ascii="Wingdings" w:hAnsi="Wingdings" w:hint="default"/>
      </w:rPr>
    </w:lvl>
    <w:lvl w:ilvl="5" w:tplc="28F230EA" w:tentative="1">
      <w:start w:val="1"/>
      <w:numFmt w:val="bullet"/>
      <w:lvlText w:val=""/>
      <w:lvlJc w:val="left"/>
      <w:pPr>
        <w:tabs>
          <w:tab w:val="num" w:pos="4320"/>
        </w:tabs>
        <w:ind w:left="4320" w:hanging="360"/>
      </w:pPr>
      <w:rPr>
        <w:rFonts w:ascii="Wingdings" w:hAnsi="Wingdings" w:hint="default"/>
      </w:rPr>
    </w:lvl>
    <w:lvl w:ilvl="6" w:tplc="FF40C3FA" w:tentative="1">
      <w:start w:val="1"/>
      <w:numFmt w:val="bullet"/>
      <w:lvlText w:val=""/>
      <w:lvlJc w:val="left"/>
      <w:pPr>
        <w:tabs>
          <w:tab w:val="num" w:pos="5040"/>
        </w:tabs>
        <w:ind w:left="5040" w:hanging="360"/>
      </w:pPr>
      <w:rPr>
        <w:rFonts w:ascii="Wingdings" w:hAnsi="Wingdings" w:hint="default"/>
      </w:rPr>
    </w:lvl>
    <w:lvl w:ilvl="7" w:tplc="BEAC6188" w:tentative="1">
      <w:start w:val="1"/>
      <w:numFmt w:val="bullet"/>
      <w:lvlText w:val=""/>
      <w:lvlJc w:val="left"/>
      <w:pPr>
        <w:tabs>
          <w:tab w:val="num" w:pos="5760"/>
        </w:tabs>
        <w:ind w:left="5760" w:hanging="360"/>
      </w:pPr>
      <w:rPr>
        <w:rFonts w:ascii="Wingdings" w:hAnsi="Wingdings" w:hint="default"/>
      </w:rPr>
    </w:lvl>
    <w:lvl w:ilvl="8" w:tplc="FA427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22C3"/>
    <w:multiLevelType w:val="hybridMultilevel"/>
    <w:tmpl w:val="8C8A0474"/>
    <w:lvl w:ilvl="0" w:tplc="2A4615D8">
      <w:start w:val="1"/>
      <w:numFmt w:val="bullet"/>
      <w:lvlText w:val=""/>
      <w:lvlJc w:val="left"/>
      <w:pPr>
        <w:tabs>
          <w:tab w:val="num" w:pos="720"/>
        </w:tabs>
        <w:ind w:left="720" w:hanging="360"/>
      </w:pPr>
      <w:rPr>
        <w:rFonts w:ascii="Wingdings" w:hAnsi="Wingdings" w:hint="default"/>
      </w:rPr>
    </w:lvl>
    <w:lvl w:ilvl="1" w:tplc="41D84B44">
      <w:start w:val="1"/>
      <w:numFmt w:val="bullet"/>
      <w:lvlText w:val=""/>
      <w:lvlJc w:val="left"/>
      <w:pPr>
        <w:tabs>
          <w:tab w:val="num" w:pos="1440"/>
        </w:tabs>
        <w:ind w:left="1440" w:hanging="360"/>
      </w:pPr>
      <w:rPr>
        <w:rFonts w:ascii="Wingdings" w:hAnsi="Wingdings" w:hint="default"/>
      </w:rPr>
    </w:lvl>
    <w:lvl w:ilvl="2" w:tplc="E8A0032A" w:tentative="1">
      <w:start w:val="1"/>
      <w:numFmt w:val="bullet"/>
      <w:lvlText w:val=""/>
      <w:lvlJc w:val="left"/>
      <w:pPr>
        <w:tabs>
          <w:tab w:val="num" w:pos="2160"/>
        </w:tabs>
        <w:ind w:left="2160" w:hanging="360"/>
      </w:pPr>
      <w:rPr>
        <w:rFonts w:ascii="Wingdings" w:hAnsi="Wingdings" w:hint="default"/>
      </w:rPr>
    </w:lvl>
    <w:lvl w:ilvl="3" w:tplc="A5BCC384" w:tentative="1">
      <w:start w:val="1"/>
      <w:numFmt w:val="bullet"/>
      <w:lvlText w:val=""/>
      <w:lvlJc w:val="left"/>
      <w:pPr>
        <w:tabs>
          <w:tab w:val="num" w:pos="2880"/>
        </w:tabs>
        <w:ind w:left="2880" w:hanging="360"/>
      </w:pPr>
      <w:rPr>
        <w:rFonts w:ascii="Wingdings" w:hAnsi="Wingdings" w:hint="default"/>
      </w:rPr>
    </w:lvl>
    <w:lvl w:ilvl="4" w:tplc="1CEAA588" w:tentative="1">
      <w:start w:val="1"/>
      <w:numFmt w:val="bullet"/>
      <w:lvlText w:val=""/>
      <w:lvlJc w:val="left"/>
      <w:pPr>
        <w:tabs>
          <w:tab w:val="num" w:pos="3600"/>
        </w:tabs>
        <w:ind w:left="3600" w:hanging="360"/>
      </w:pPr>
      <w:rPr>
        <w:rFonts w:ascii="Wingdings" w:hAnsi="Wingdings" w:hint="default"/>
      </w:rPr>
    </w:lvl>
    <w:lvl w:ilvl="5" w:tplc="E09EBAF0" w:tentative="1">
      <w:start w:val="1"/>
      <w:numFmt w:val="bullet"/>
      <w:lvlText w:val=""/>
      <w:lvlJc w:val="left"/>
      <w:pPr>
        <w:tabs>
          <w:tab w:val="num" w:pos="4320"/>
        </w:tabs>
        <w:ind w:left="4320" w:hanging="360"/>
      </w:pPr>
      <w:rPr>
        <w:rFonts w:ascii="Wingdings" w:hAnsi="Wingdings" w:hint="default"/>
      </w:rPr>
    </w:lvl>
    <w:lvl w:ilvl="6" w:tplc="212AAFD6" w:tentative="1">
      <w:start w:val="1"/>
      <w:numFmt w:val="bullet"/>
      <w:lvlText w:val=""/>
      <w:lvlJc w:val="left"/>
      <w:pPr>
        <w:tabs>
          <w:tab w:val="num" w:pos="5040"/>
        </w:tabs>
        <w:ind w:left="5040" w:hanging="360"/>
      </w:pPr>
      <w:rPr>
        <w:rFonts w:ascii="Wingdings" w:hAnsi="Wingdings" w:hint="default"/>
      </w:rPr>
    </w:lvl>
    <w:lvl w:ilvl="7" w:tplc="26109570" w:tentative="1">
      <w:start w:val="1"/>
      <w:numFmt w:val="bullet"/>
      <w:lvlText w:val=""/>
      <w:lvlJc w:val="left"/>
      <w:pPr>
        <w:tabs>
          <w:tab w:val="num" w:pos="5760"/>
        </w:tabs>
        <w:ind w:left="5760" w:hanging="360"/>
      </w:pPr>
      <w:rPr>
        <w:rFonts w:ascii="Wingdings" w:hAnsi="Wingdings" w:hint="default"/>
      </w:rPr>
    </w:lvl>
    <w:lvl w:ilvl="8" w:tplc="7FBE23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236B8"/>
    <w:multiLevelType w:val="hybridMultilevel"/>
    <w:tmpl w:val="F53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3317E"/>
    <w:multiLevelType w:val="hybridMultilevel"/>
    <w:tmpl w:val="D20244B6"/>
    <w:lvl w:ilvl="0" w:tplc="3DF2CC54">
      <w:start w:val="1"/>
      <w:numFmt w:val="bullet"/>
      <w:lvlText w:val=""/>
      <w:lvlJc w:val="left"/>
      <w:pPr>
        <w:tabs>
          <w:tab w:val="num" w:pos="2007"/>
        </w:tabs>
        <w:ind w:left="200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15539BC"/>
    <w:multiLevelType w:val="hybridMultilevel"/>
    <w:tmpl w:val="326E221A"/>
    <w:lvl w:ilvl="0" w:tplc="08090001">
      <w:start w:val="1"/>
      <w:numFmt w:val="bullet"/>
      <w:lvlText w:val=""/>
      <w:lvlJc w:val="left"/>
      <w:pPr>
        <w:tabs>
          <w:tab w:val="num" w:pos="2007"/>
        </w:tabs>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549660F"/>
    <w:multiLevelType w:val="hybridMultilevel"/>
    <w:tmpl w:val="188290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607B9B"/>
    <w:multiLevelType w:val="hybridMultilevel"/>
    <w:tmpl w:val="908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F43C0"/>
    <w:multiLevelType w:val="hybridMultilevel"/>
    <w:tmpl w:val="DBACE4D8"/>
    <w:lvl w:ilvl="0" w:tplc="CB46DDA4">
      <w:start w:val="1"/>
      <w:numFmt w:val="bullet"/>
      <w:lvlText w:val=""/>
      <w:lvlJc w:val="left"/>
      <w:pPr>
        <w:tabs>
          <w:tab w:val="num" w:pos="720"/>
        </w:tabs>
        <w:ind w:left="720" w:hanging="360"/>
      </w:pPr>
      <w:rPr>
        <w:rFonts w:ascii="Wingdings" w:hAnsi="Wingdings" w:hint="default"/>
      </w:rPr>
    </w:lvl>
    <w:lvl w:ilvl="1" w:tplc="5DC4AD28">
      <w:start w:val="1"/>
      <w:numFmt w:val="bullet"/>
      <w:lvlText w:val=""/>
      <w:lvlJc w:val="left"/>
      <w:pPr>
        <w:tabs>
          <w:tab w:val="num" w:pos="1440"/>
        </w:tabs>
        <w:ind w:left="1440" w:hanging="360"/>
      </w:pPr>
      <w:rPr>
        <w:rFonts w:ascii="Wingdings" w:hAnsi="Wingdings" w:hint="default"/>
      </w:rPr>
    </w:lvl>
    <w:lvl w:ilvl="2" w:tplc="7AD81B26" w:tentative="1">
      <w:start w:val="1"/>
      <w:numFmt w:val="bullet"/>
      <w:lvlText w:val=""/>
      <w:lvlJc w:val="left"/>
      <w:pPr>
        <w:tabs>
          <w:tab w:val="num" w:pos="2160"/>
        </w:tabs>
        <w:ind w:left="2160" w:hanging="360"/>
      </w:pPr>
      <w:rPr>
        <w:rFonts w:ascii="Wingdings" w:hAnsi="Wingdings" w:hint="default"/>
      </w:rPr>
    </w:lvl>
    <w:lvl w:ilvl="3" w:tplc="D304FF40" w:tentative="1">
      <w:start w:val="1"/>
      <w:numFmt w:val="bullet"/>
      <w:lvlText w:val=""/>
      <w:lvlJc w:val="left"/>
      <w:pPr>
        <w:tabs>
          <w:tab w:val="num" w:pos="2880"/>
        </w:tabs>
        <w:ind w:left="2880" w:hanging="360"/>
      </w:pPr>
      <w:rPr>
        <w:rFonts w:ascii="Wingdings" w:hAnsi="Wingdings" w:hint="default"/>
      </w:rPr>
    </w:lvl>
    <w:lvl w:ilvl="4" w:tplc="F906F4DE" w:tentative="1">
      <w:start w:val="1"/>
      <w:numFmt w:val="bullet"/>
      <w:lvlText w:val=""/>
      <w:lvlJc w:val="left"/>
      <w:pPr>
        <w:tabs>
          <w:tab w:val="num" w:pos="3600"/>
        </w:tabs>
        <w:ind w:left="3600" w:hanging="360"/>
      </w:pPr>
      <w:rPr>
        <w:rFonts w:ascii="Wingdings" w:hAnsi="Wingdings" w:hint="default"/>
      </w:rPr>
    </w:lvl>
    <w:lvl w:ilvl="5" w:tplc="B34607FE" w:tentative="1">
      <w:start w:val="1"/>
      <w:numFmt w:val="bullet"/>
      <w:lvlText w:val=""/>
      <w:lvlJc w:val="left"/>
      <w:pPr>
        <w:tabs>
          <w:tab w:val="num" w:pos="4320"/>
        </w:tabs>
        <w:ind w:left="4320" w:hanging="360"/>
      </w:pPr>
      <w:rPr>
        <w:rFonts w:ascii="Wingdings" w:hAnsi="Wingdings" w:hint="default"/>
      </w:rPr>
    </w:lvl>
    <w:lvl w:ilvl="6" w:tplc="F5B4A78E" w:tentative="1">
      <w:start w:val="1"/>
      <w:numFmt w:val="bullet"/>
      <w:lvlText w:val=""/>
      <w:lvlJc w:val="left"/>
      <w:pPr>
        <w:tabs>
          <w:tab w:val="num" w:pos="5040"/>
        </w:tabs>
        <w:ind w:left="5040" w:hanging="360"/>
      </w:pPr>
      <w:rPr>
        <w:rFonts w:ascii="Wingdings" w:hAnsi="Wingdings" w:hint="default"/>
      </w:rPr>
    </w:lvl>
    <w:lvl w:ilvl="7" w:tplc="5CF2342E" w:tentative="1">
      <w:start w:val="1"/>
      <w:numFmt w:val="bullet"/>
      <w:lvlText w:val=""/>
      <w:lvlJc w:val="left"/>
      <w:pPr>
        <w:tabs>
          <w:tab w:val="num" w:pos="5760"/>
        </w:tabs>
        <w:ind w:left="5760" w:hanging="360"/>
      </w:pPr>
      <w:rPr>
        <w:rFonts w:ascii="Wingdings" w:hAnsi="Wingdings" w:hint="default"/>
      </w:rPr>
    </w:lvl>
    <w:lvl w:ilvl="8" w:tplc="4588C09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04575"/>
    <w:multiLevelType w:val="hybridMultilevel"/>
    <w:tmpl w:val="A244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A5CAD"/>
    <w:multiLevelType w:val="hybridMultilevel"/>
    <w:tmpl w:val="E3AE0EF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7B2A0B"/>
    <w:multiLevelType w:val="hybridMultilevel"/>
    <w:tmpl w:val="590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91D4F"/>
    <w:multiLevelType w:val="hybridMultilevel"/>
    <w:tmpl w:val="3EEE9F48"/>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8F868A3"/>
    <w:multiLevelType w:val="hybridMultilevel"/>
    <w:tmpl w:val="730E4DE6"/>
    <w:lvl w:ilvl="0" w:tplc="1CC88622">
      <w:start w:val="1"/>
      <w:numFmt w:val="bullet"/>
      <w:lvlText w:val=""/>
      <w:lvlJc w:val="left"/>
      <w:pPr>
        <w:tabs>
          <w:tab w:val="num" w:pos="720"/>
        </w:tabs>
        <w:ind w:left="720" w:hanging="360"/>
      </w:pPr>
      <w:rPr>
        <w:rFonts w:ascii="Wingdings" w:hAnsi="Wingdings" w:hint="default"/>
      </w:rPr>
    </w:lvl>
    <w:lvl w:ilvl="1" w:tplc="3DF2CC54">
      <w:start w:val="1"/>
      <w:numFmt w:val="bullet"/>
      <w:lvlText w:val=""/>
      <w:lvlJc w:val="left"/>
      <w:pPr>
        <w:tabs>
          <w:tab w:val="num" w:pos="1440"/>
        </w:tabs>
        <w:ind w:left="1440" w:hanging="360"/>
      </w:pPr>
      <w:rPr>
        <w:rFonts w:ascii="Wingdings" w:hAnsi="Wingdings" w:hint="default"/>
      </w:rPr>
    </w:lvl>
    <w:lvl w:ilvl="2" w:tplc="2ECA7262" w:tentative="1">
      <w:start w:val="1"/>
      <w:numFmt w:val="bullet"/>
      <w:lvlText w:val=""/>
      <w:lvlJc w:val="left"/>
      <w:pPr>
        <w:tabs>
          <w:tab w:val="num" w:pos="2160"/>
        </w:tabs>
        <w:ind w:left="2160" w:hanging="360"/>
      </w:pPr>
      <w:rPr>
        <w:rFonts w:ascii="Wingdings" w:hAnsi="Wingdings" w:hint="default"/>
      </w:rPr>
    </w:lvl>
    <w:lvl w:ilvl="3" w:tplc="B096FDD2" w:tentative="1">
      <w:start w:val="1"/>
      <w:numFmt w:val="bullet"/>
      <w:lvlText w:val=""/>
      <w:lvlJc w:val="left"/>
      <w:pPr>
        <w:tabs>
          <w:tab w:val="num" w:pos="2880"/>
        </w:tabs>
        <w:ind w:left="2880" w:hanging="360"/>
      </w:pPr>
      <w:rPr>
        <w:rFonts w:ascii="Wingdings" w:hAnsi="Wingdings" w:hint="default"/>
      </w:rPr>
    </w:lvl>
    <w:lvl w:ilvl="4" w:tplc="F3442A00" w:tentative="1">
      <w:start w:val="1"/>
      <w:numFmt w:val="bullet"/>
      <w:lvlText w:val=""/>
      <w:lvlJc w:val="left"/>
      <w:pPr>
        <w:tabs>
          <w:tab w:val="num" w:pos="3600"/>
        </w:tabs>
        <w:ind w:left="3600" w:hanging="360"/>
      </w:pPr>
      <w:rPr>
        <w:rFonts w:ascii="Wingdings" w:hAnsi="Wingdings" w:hint="default"/>
      </w:rPr>
    </w:lvl>
    <w:lvl w:ilvl="5" w:tplc="A73AFDFC" w:tentative="1">
      <w:start w:val="1"/>
      <w:numFmt w:val="bullet"/>
      <w:lvlText w:val=""/>
      <w:lvlJc w:val="left"/>
      <w:pPr>
        <w:tabs>
          <w:tab w:val="num" w:pos="4320"/>
        </w:tabs>
        <w:ind w:left="4320" w:hanging="360"/>
      </w:pPr>
      <w:rPr>
        <w:rFonts w:ascii="Wingdings" w:hAnsi="Wingdings" w:hint="default"/>
      </w:rPr>
    </w:lvl>
    <w:lvl w:ilvl="6" w:tplc="547A2452" w:tentative="1">
      <w:start w:val="1"/>
      <w:numFmt w:val="bullet"/>
      <w:lvlText w:val=""/>
      <w:lvlJc w:val="left"/>
      <w:pPr>
        <w:tabs>
          <w:tab w:val="num" w:pos="5040"/>
        </w:tabs>
        <w:ind w:left="5040" w:hanging="360"/>
      </w:pPr>
      <w:rPr>
        <w:rFonts w:ascii="Wingdings" w:hAnsi="Wingdings" w:hint="default"/>
      </w:rPr>
    </w:lvl>
    <w:lvl w:ilvl="7" w:tplc="AEA47F96" w:tentative="1">
      <w:start w:val="1"/>
      <w:numFmt w:val="bullet"/>
      <w:lvlText w:val=""/>
      <w:lvlJc w:val="left"/>
      <w:pPr>
        <w:tabs>
          <w:tab w:val="num" w:pos="5760"/>
        </w:tabs>
        <w:ind w:left="5760" w:hanging="360"/>
      </w:pPr>
      <w:rPr>
        <w:rFonts w:ascii="Wingdings" w:hAnsi="Wingdings" w:hint="default"/>
      </w:rPr>
    </w:lvl>
    <w:lvl w:ilvl="8" w:tplc="37843BC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5"/>
  </w:num>
  <w:num w:numId="4">
    <w:abstractNumId w:val="4"/>
  </w:num>
  <w:num w:numId="5">
    <w:abstractNumId w:val="11"/>
  </w:num>
  <w:num w:numId="6">
    <w:abstractNumId w:val="5"/>
  </w:num>
  <w:num w:numId="7">
    <w:abstractNumId w:val="16"/>
  </w:num>
  <w:num w:numId="8">
    <w:abstractNumId w:val="3"/>
  </w:num>
  <w:num w:numId="9">
    <w:abstractNumId w:val="7"/>
  </w:num>
  <w:num w:numId="10">
    <w:abstractNumId w:val="8"/>
  </w:num>
  <w:num w:numId="11">
    <w:abstractNumId w:val="9"/>
  </w:num>
  <w:num w:numId="12">
    <w:abstractNumId w:val="0"/>
  </w:num>
  <w:num w:numId="13">
    <w:abstractNumId w:val="13"/>
  </w:num>
  <w:num w:numId="14">
    <w:abstractNumId w:val="6"/>
  </w:num>
  <w:num w:numId="15">
    <w:abstractNumId w:val="1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93"/>
    <w:rsid w:val="000145E5"/>
    <w:rsid w:val="00036EEF"/>
    <w:rsid w:val="00043277"/>
    <w:rsid w:val="0006428E"/>
    <w:rsid w:val="00067581"/>
    <w:rsid w:val="000919D6"/>
    <w:rsid w:val="000A253C"/>
    <w:rsid w:val="000A584D"/>
    <w:rsid w:val="000C0CF4"/>
    <w:rsid w:val="000C20D2"/>
    <w:rsid w:val="000C57D5"/>
    <w:rsid w:val="000D36DF"/>
    <w:rsid w:val="000F1B3B"/>
    <w:rsid w:val="000F3B33"/>
    <w:rsid w:val="00157D20"/>
    <w:rsid w:val="0016471A"/>
    <w:rsid w:val="001659BC"/>
    <w:rsid w:val="00170424"/>
    <w:rsid w:val="00172E96"/>
    <w:rsid w:val="00194490"/>
    <w:rsid w:val="001A6F27"/>
    <w:rsid w:val="001A76D6"/>
    <w:rsid w:val="001A7EC2"/>
    <w:rsid w:val="001B1B55"/>
    <w:rsid w:val="001D637E"/>
    <w:rsid w:val="001E0CDE"/>
    <w:rsid w:val="001E1B18"/>
    <w:rsid w:val="001E1CCA"/>
    <w:rsid w:val="001E25EE"/>
    <w:rsid w:val="001F1743"/>
    <w:rsid w:val="001F2CD1"/>
    <w:rsid w:val="00206753"/>
    <w:rsid w:val="00213434"/>
    <w:rsid w:val="00213C10"/>
    <w:rsid w:val="00223AE3"/>
    <w:rsid w:val="0023271E"/>
    <w:rsid w:val="00250A63"/>
    <w:rsid w:val="00255979"/>
    <w:rsid w:val="002575E3"/>
    <w:rsid w:val="00257CAC"/>
    <w:rsid w:val="002A7A22"/>
    <w:rsid w:val="002A7E54"/>
    <w:rsid w:val="002B338D"/>
    <w:rsid w:val="002C36BB"/>
    <w:rsid w:val="002C4B81"/>
    <w:rsid w:val="002E431C"/>
    <w:rsid w:val="002F2B7E"/>
    <w:rsid w:val="002F55AC"/>
    <w:rsid w:val="003059DF"/>
    <w:rsid w:val="0031524D"/>
    <w:rsid w:val="00320EFC"/>
    <w:rsid w:val="00326F9E"/>
    <w:rsid w:val="00340794"/>
    <w:rsid w:val="003521E8"/>
    <w:rsid w:val="00385834"/>
    <w:rsid w:val="003A4B3D"/>
    <w:rsid w:val="003B18CB"/>
    <w:rsid w:val="003C06BE"/>
    <w:rsid w:val="003C4B85"/>
    <w:rsid w:val="003D165D"/>
    <w:rsid w:val="003E6093"/>
    <w:rsid w:val="003F1526"/>
    <w:rsid w:val="00413679"/>
    <w:rsid w:val="004140CC"/>
    <w:rsid w:val="00415173"/>
    <w:rsid w:val="00421226"/>
    <w:rsid w:val="00426C7A"/>
    <w:rsid w:val="00430C56"/>
    <w:rsid w:val="00454B33"/>
    <w:rsid w:val="00463E0A"/>
    <w:rsid w:val="004716E2"/>
    <w:rsid w:val="004737DA"/>
    <w:rsid w:val="00476153"/>
    <w:rsid w:val="00481A8D"/>
    <w:rsid w:val="0049152F"/>
    <w:rsid w:val="0049486E"/>
    <w:rsid w:val="00495C2C"/>
    <w:rsid w:val="004A0898"/>
    <w:rsid w:val="004C63D0"/>
    <w:rsid w:val="004F4642"/>
    <w:rsid w:val="004F51A8"/>
    <w:rsid w:val="00500E63"/>
    <w:rsid w:val="00511CED"/>
    <w:rsid w:val="00537696"/>
    <w:rsid w:val="00552529"/>
    <w:rsid w:val="00564602"/>
    <w:rsid w:val="00564800"/>
    <w:rsid w:val="00567F02"/>
    <w:rsid w:val="00571253"/>
    <w:rsid w:val="0057267E"/>
    <w:rsid w:val="005876E5"/>
    <w:rsid w:val="00597EEF"/>
    <w:rsid w:val="005C7114"/>
    <w:rsid w:val="005F44DC"/>
    <w:rsid w:val="006024BF"/>
    <w:rsid w:val="00624B51"/>
    <w:rsid w:val="00630042"/>
    <w:rsid w:val="006463A0"/>
    <w:rsid w:val="00646498"/>
    <w:rsid w:val="00656C6B"/>
    <w:rsid w:val="00660EF4"/>
    <w:rsid w:val="0066397E"/>
    <w:rsid w:val="00665F85"/>
    <w:rsid w:val="006724D1"/>
    <w:rsid w:val="00681B5A"/>
    <w:rsid w:val="006967C1"/>
    <w:rsid w:val="006C23D2"/>
    <w:rsid w:val="006C7EF4"/>
    <w:rsid w:val="006D2A9E"/>
    <w:rsid w:val="006E4C16"/>
    <w:rsid w:val="006E6058"/>
    <w:rsid w:val="00720219"/>
    <w:rsid w:val="00727022"/>
    <w:rsid w:val="00740FF5"/>
    <w:rsid w:val="00752DD2"/>
    <w:rsid w:val="00755511"/>
    <w:rsid w:val="00766FD3"/>
    <w:rsid w:val="00780AE4"/>
    <w:rsid w:val="0079665D"/>
    <w:rsid w:val="00797C5A"/>
    <w:rsid w:val="007A071B"/>
    <w:rsid w:val="007A2746"/>
    <w:rsid w:val="007A2DC6"/>
    <w:rsid w:val="007A7D20"/>
    <w:rsid w:val="007B122C"/>
    <w:rsid w:val="007C1ED7"/>
    <w:rsid w:val="007C3374"/>
    <w:rsid w:val="007D6D5C"/>
    <w:rsid w:val="007E3130"/>
    <w:rsid w:val="007E70A8"/>
    <w:rsid w:val="00802A9F"/>
    <w:rsid w:val="00815910"/>
    <w:rsid w:val="00827FAA"/>
    <w:rsid w:val="00830C70"/>
    <w:rsid w:val="008415EF"/>
    <w:rsid w:val="008435B1"/>
    <w:rsid w:val="00850B5A"/>
    <w:rsid w:val="00871D4B"/>
    <w:rsid w:val="00872267"/>
    <w:rsid w:val="008834B4"/>
    <w:rsid w:val="008A797C"/>
    <w:rsid w:val="008D7CCD"/>
    <w:rsid w:val="008E4B43"/>
    <w:rsid w:val="00907018"/>
    <w:rsid w:val="00915529"/>
    <w:rsid w:val="0092376F"/>
    <w:rsid w:val="00933519"/>
    <w:rsid w:val="00934B6A"/>
    <w:rsid w:val="00937225"/>
    <w:rsid w:val="00941CDC"/>
    <w:rsid w:val="00960B9B"/>
    <w:rsid w:val="00965063"/>
    <w:rsid w:val="00965C0F"/>
    <w:rsid w:val="00970E04"/>
    <w:rsid w:val="00975871"/>
    <w:rsid w:val="0097641F"/>
    <w:rsid w:val="009771B8"/>
    <w:rsid w:val="009835C8"/>
    <w:rsid w:val="009844D6"/>
    <w:rsid w:val="00992F36"/>
    <w:rsid w:val="009940AD"/>
    <w:rsid w:val="00997EB7"/>
    <w:rsid w:val="009A4B59"/>
    <w:rsid w:val="009B3984"/>
    <w:rsid w:val="009C1C00"/>
    <w:rsid w:val="009E192D"/>
    <w:rsid w:val="009E5A9F"/>
    <w:rsid w:val="00A3048F"/>
    <w:rsid w:val="00A339C8"/>
    <w:rsid w:val="00A73411"/>
    <w:rsid w:val="00A7434F"/>
    <w:rsid w:val="00A90056"/>
    <w:rsid w:val="00AA7E0C"/>
    <w:rsid w:val="00AB1277"/>
    <w:rsid w:val="00AB43DD"/>
    <w:rsid w:val="00AC2CFF"/>
    <w:rsid w:val="00AC663F"/>
    <w:rsid w:val="00AD5A6E"/>
    <w:rsid w:val="00B26BA0"/>
    <w:rsid w:val="00B366E6"/>
    <w:rsid w:val="00B576FE"/>
    <w:rsid w:val="00B60A01"/>
    <w:rsid w:val="00B77E7D"/>
    <w:rsid w:val="00B83A48"/>
    <w:rsid w:val="00B8430C"/>
    <w:rsid w:val="00B8536D"/>
    <w:rsid w:val="00BA1C4F"/>
    <w:rsid w:val="00BC495C"/>
    <w:rsid w:val="00BD04E3"/>
    <w:rsid w:val="00BD0793"/>
    <w:rsid w:val="00BD309E"/>
    <w:rsid w:val="00BE0517"/>
    <w:rsid w:val="00BE05C3"/>
    <w:rsid w:val="00BE759A"/>
    <w:rsid w:val="00BF0259"/>
    <w:rsid w:val="00BF480D"/>
    <w:rsid w:val="00C270D0"/>
    <w:rsid w:val="00C465F1"/>
    <w:rsid w:val="00C575AD"/>
    <w:rsid w:val="00C60C6B"/>
    <w:rsid w:val="00C67C67"/>
    <w:rsid w:val="00C778CF"/>
    <w:rsid w:val="00C81EDC"/>
    <w:rsid w:val="00CC35F0"/>
    <w:rsid w:val="00CD473F"/>
    <w:rsid w:val="00CD4811"/>
    <w:rsid w:val="00CD7E22"/>
    <w:rsid w:val="00CF6552"/>
    <w:rsid w:val="00D00087"/>
    <w:rsid w:val="00D13039"/>
    <w:rsid w:val="00D2072A"/>
    <w:rsid w:val="00D37985"/>
    <w:rsid w:val="00D47036"/>
    <w:rsid w:val="00D57EA6"/>
    <w:rsid w:val="00D732E6"/>
    <w:rsid w:val="00D95E18"/>
    <w:rsid w:val="00D96006"/>
    <w:rsid w:val="00DC62F3"/>
    <w:rsid w:val="00DD6E45"/>
    <w:rsid w:val="00E064BF"/>
    <w:rsid w:val="00E10782"/>
    <w:rsid w:val="00E23AF0"/>
    <w:rsid w:val="00E37EB1"/>
    <w:rsid w:val="00E44D65"/>
    <w:rsid w:val="00E45C82"/>
    <w:rsid w:val="00E70817"/>
    <w:rsid w:val="00E74A5E"/>
    <w:rsid w:val="00E76BC9"/>
    <w:rsid w:val="00E7715C"/>
    <w:rsid w:val="00E84C4A"/>
    <w:rsid w:val="00EE3011"/>
    <w:rsid w:val="00EE5AEC"/>
    <w:rsid w:val="00EF6884"/>
    <w:rsid w:val="00F12518"/>
    <w:rsid w:val="00F15D6A"/>
    <w:rsid w:val="00F23CF8"/>
    <w:rsid w:val="00F51195"/>
    <w:rsid w:val="00F52192"/>
    <w:rsid w:val="00F71DD9"/>
    <w:rsid w:val="00F72842"/>
    <w:rsid w:val="00FA2A69"/>
    <w:rsid w:val="00FE2B81"/>
    <w:rsid w:val="00FF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78BD"/>
  <w15:chartTrackingRefBased/>
  <w15:docId w15:val="{5698FE03-2C0B-4C97-B22C-2A25C6D6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6D6"/>
    <w:pPr>
      <w:spacing w:after="200" w:line="240" w:lineRule="auto"/>
      <w:ind w:left="720"/>
      <w:contextualSpacing/>
    </w:pPr>
    <w:rPr>
      <w:rFonts w:ascii="Times New Roman" w:eastAsia="Calibri" w:hAnsi="Times New Roman" w:cs="Times New Roman"/>
      <w:lang w:val="en-ZW"/>
    </w:rPr>
  </w:style>
  <w:style w:type="character" w:customStyle="1" w:styleId="ListParagraphChar">
    <w:name w:val="List Paragraph Char"/>
    <w:basedOn w:val="DefaultParagraphFont"/>
    <w:link w:val="ListParagraph"/>
    <w:uiPriority w:val="34"/>
    <w:rsid w:val="001A76D6"/>
    <w:rPr>
      <w:rFonts w:ascii="Times New Roman" w:eastAsia="Calibri" w:hAnsi="Times New Roman" w:cs="Times New Roman"/>
      <w:lang w:val="en-ZW"/>
    </w:rPr>
  </w:style>
  <w:style w:type="paragraph" w:styleId="FootnoteText">
    <w:name w:val="footnote text"/>
    <w:basedOn w:val="Normal"/>
    <w:link w:val="FootnoteTextChar"/>
    <w:rsid w:val="0092376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2376F"/>
    <w:rPr>
      <w:rFonts w:ascii="Times New Roman" w:eastAsia="Times New Roman" w:hAnsi="Times New Roman" w:cs="Times New Roman"/>
      <w:sz w:val="20"/>
      <w:szCs w:val="20"/>
      <w:lang w:eastAsia="en-GB"/>
    </w:rPr>
  </w:style>
  <w:style w:type="character" w:styleId="FootnoteReference">
    <w:name w:val="footnote reference"/>
    <w:rsid w:val="0092376F"/>
    <w:rPr>
      <w:vertAlign w:val="superscript"/>
    </w:rPr>
  </w:style>
  <w:style w:type="table" w:customStyle="1" w:styleId="TableGrid2">
    <w:name w:val="Table Grid2"/>
    <w:basedOn w:val="TableNormal"/>
    <w:next w:val="TableGrid"/>
    <w:uiPriority w:val="39"/>
    <w:rsid w:val="00D2072A"/>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75AD"/>
    <w:pPr>
      <w:spacing w:after="0" w:line="220" w:lineRule="atLeast"/>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9E19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192D"/>
    <w:rPr>
      <w:rFonts w:eastAsiaTheme="minorEastAsia"/>
      <w:lang w:val="en-US"/>
    </w:rPr>
  </w:style>
  <w:style w:type="paragraph" w:styleId="EndnoteText">
    <w:name w:val="endnote text"/>
    <w:basedOn w:val="Normal"/>
    <w:link w:val="EndnoteTextChar"/>
    <w:uiPriority w:val="99"/>
    <w:semiHidden/>
    <w:unhideWhenUsed/>
    <w:rsid w:val="005C71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114"/>
    <w:rPr>
      <w:sz w:val="20"/>
      <w:szCs w:val="20"/>
    </w:rPr>
  </w:style>
  <w:style w:type="character" w:styleId="EndnoteReference">
    <w:name w:val="endnote reference"/>
    <w:basedOn w:val="DefaultParagraphFont"/>
    <w:uiPriority w:val="99"/>
    <w:semiHidden/>
    <w:unhideWhenUsed/>
    <w:rsid w:val="005C71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0862">
      <w:bodyDiv w:val="1"/>
      <w:marLeft w:val="0"/>
      <w:marRight w:val="0"/>
      <w:marTop w:val="0"/>
      <w:marBottom w:val="0"/>
      <w:divBdr>
        <w:top w:val="none" w:sz="0" w:space="0" w:color="auto"/>
        <w:left w:val="none" w:sz="0" w:space="0" w:color="auto"/>
        <w:bottom w:val="none" w:sz="0" w:space="0" w:color="auto"/>
        <w:right w:val="none" w:sz="0" w:space="0" w:color="auto"/>
      </w:divBdr>
      <w:divsChild>
        <w:div w:id="444232205">
          <w:marLeft w:val="893"/>
          <w:marRight w:val="0"/>
          <w:marTop w:val="106"/>
          <w:marBottom w:val="0"/>
          <w:divBdr>
            <w:top w:val="none" w:sz="0" w:space="0" w:color="auto"/>
            <w:left w:val="none" w:sz="0" w:space="0" w:color="auto"/>
            <w:bottom w:val="none" w:sz="0" w:space="0" w:color="auto"/>
            <w:right w:val="none" w:sz="0" w:space="0" w:color="auto"/>
          </w:divBdr>
        </w:div>
      </w:divsChild>
    </w:div>
    <w:div w:id="703941445">
      <w:bodyDiv w:val="1"/>
      <w:marLeft w:val="0"/>
      <w:marRight w:val="0"/>
      <w:marTop w:val="0"/>
      <w:marBottom w:val="0"/>
      <w:divBdr>
        <w:top w:val="none" w:sz="0" w:space="0" w:color="auto"/>
        <w:left w:val="none" w:sz="0" w:space="0" w:color="auto"/>
        <w:bottom w:val="none" w:sz="0" w:space="0" w:color="auto"/>
        <w:right w:val="none" w:sz="0" w:space="0" w:color="auto"/>
      </w:divBdr>
      <w:divsChild>
        <w:div w:id="405618373">
          <w:marLeft w:val="893"/>
          <w:marRight w:val="0"/>
          <w:marTop w:val="115"/>
          <w:marBottom w:val="0"/>
          <w:divBdr>
            <w:top w:val="none" w:sz="0" w:space="0" w:color="auto"/>
            <w:left w:val="none" w:sz="0" w:space="0" w:color="auto"/>
            <w:bottom w:val="none" w:sz="0" w:space="0" w:color="auto"/>
            <w:right w:val="none" w:sz="0" w:space="0" w:color="auto"/>
          </w:divBdr>
        </w:div>
      </w:divsChild>
    </w:div>
    <w:div w:id="857501541">
      <w:bodyDiv w:val="1"/>
      <w:marLeft w:val="0"/>
      <w:marRight w:val="0"/>
      <w:marTop w:val="0"/>
      <w:marBottom w:val="0"/>
      <w:divBdr>
        <w:top w:val="none" w:sz="0" w:space="0" w:color="auto"/>
        <w:left w:val="none" w:sz="0" w:space="0" w:color="auto"/>
        <w:bottom w:val="none" w:sz="0" w:space="0" w:color="auto"/>
        <w:right w:val="none" w:sz="0" w:space="0" w:color="auto"/>
      </w:divBdr>
      <w:divsChild>
        <w:div w:id="1029841430">
          <w:marLeft w:val="1584"/>
          <w:marRight w:val="0"/>
          <w:marTop w:val="96"/>
          <w:marBottom w:val="0"/>
          <w:divBdr>
            <w:top w:val="none" w:sz="0" w:space="0" w:color="auto"/>
            <w:left w:val="none" w:sz="0" w:space="0" w:color="auto"/>
            <w:bottom w:val="none" w:sz="0" w:space="0" w:color="auto"/>
            <w:right w:val="none" w:sz="0" w:space="0" w:color="auto"/>
          </w:divBdr>
        </w:div>
      </w:divsChild>
    </w:div>
    <w:div w:id="1143619179">
      <w:bodyDiv w:val="1"/>
      <w:marLeft w:val="0"/>
      <w:marRight w:val="0"/>
      <w:marTop w:val="0"/>
      <w:marBottom w:val="0"/>
      <w:divBdr>
        <w:top w:val="none" w:sz="0" w:space="0" w:color="auto"/>
        <w:left w:val="none" w:sz="0" w:space="0" w:color="auto"/>
        <w:bottom w:val="none" w:sz="0" w:space="0" w:color="auto"/>
        <w:right w:val="none" w:sz="0" w:space="0" w:color="auto"/>
      </w:divBdr>
      <w:divsChild>
        <w:div w:id="271859575">
          <w:marLeft w:val="893"/>
          <w:marRight w:val="0"/>
          <w:marTop w:val="115"/>
          <w:marBottom w:val="0"/>
          <w:divBdr>
            <w:top w:val="none" w:sz="0" w:space="0" w:color="auto"/>
            <w:left w:val="none" w:sz="0" w:space="0" w:color="auto"/>
            <w:bottom w:val="none" w:sz="0" w:space="0" w:color="auto"/>
            <w:right w:val="none" w:sz="0" w:space="0" w:color="auto"/>
          </w:divBdr>
        </w:div>
      </w:divsChild>
    </w:div>
    <w:div w:id="1737437336">
      <w:bodyDiv w:val="1"/>
      <w:marLeft w:val="0"/>
      <w:marRight w:val="0"/>
      <w:marTop w:val="0"/>
      <w:marBottom w:val="0"/>
      <w:divBdr>
        <w:top w:val="none" w:sz="0" w:space="0" w:color="auto"/>
        <w:left w:val="none" w:sz="0" w:space="0" w:color="auto"/>
        <w:bottom w:val="none" w:sz="0" w:space="0" w:color="auto"/>
        <w:right w:val="none" w:sz="0" w:space="0" w:color="auto"/>
      </w:divBdr>
    </w:div>
    <w:div w:id="1942108345">
      <w:bodyDiv w:val="1"/>
      <w:marLeft w:val="0"/>
      <w:marRight w:val="0"/>
      <w:marTop w:val="0"/>
      <w:marBottom w:val="0"/>
      <w:divBdr>
        <w:top w:val="none" w:sz="0" w:space="0" w:color="auto"/>
        <w:left w:val="none" w:sz="0" w:space="0" w:color="auto"/>
        <w:bottom w:val="none" w:sz="0" w:space="0" w:color="auto"/>
        <w:right w:val="none" w:sz="0" w:space="0" w:color="auto"/>
      </w:divBdr>
      <w:divsChild>
        <w:div w:id="1127240286">
          <w:marLeft w:val="893"/>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8977A-0CE5-47C4-8A92-21B56BF1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Gumbo</dc:creator>
  <cp:keywords/>
  <dc:description/>
  <cp:lastModifiedBy>Douglas Gumbo</cp:lastModifiedBy>
  <cp:revision>12</cp:revision>
  <dcterms:created xsi:type="dcterms:W3CDTF">2017-07-31T12:47:00Z</dcterms:created>
  <dcterms:modified xsi:type="dcterms:W3CDTF">2017-07-31T15:01:00Z</dcterms:modified>
</cp:coreProperties>
</file>